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35269" w14:textId="098B9140" w:rsidR="00562A0F" w:rsidRPr="00005B97" w:rsidRDefault="00562A0F" w:rsidP="00562A0F">
      <w:pPr>
        <w:spacing w:before="10"/>
        <w:ind w:left="120"/>
        <w:rPr>
          <w:lang w:val="pl-PL"/>
        </w:rPr>
      </w:pPr>
      <w:bookmarkStart w:id="0" w:name="_Hlk51939606"/>
      <w:bookmarkStart w:id="1" w:name="_Hlk21420256"/>
      <w:r>
        <w:rPr>
          <w:rFonts w:ascii="Arial" w:eastAsia="Arial" w:hAnsi="Arial" w:cs="Arial"/>
          <w:b/>
          <w:bCs/>
          <w:sz w:val="31"/>
          <w:szCs w:val="31"/>
          <w:lang w:val="pl-PL"/>
        </w:rPr>
        <w:t>Wyjątkowa wartość pojazdów elektrycznych, rynek pojazdów komercyjnych, usługi oparte na łączności – strategiczne punkty dnia rynków kapitałowych „</w:t>
      </w:r>
      <w:proofErr w:type="spellStart"/>
      <w:r>
        <w:rPr>
          <w:rFonts w:ascii="Arial" w:eastAsia="Arial" w:hAnsi="Arial" w:cs="Arial"/>
          <w:b/>
          <w:bCs/>
          <w:sz w:val="31"/>
          <w:szCs w:val="31"/>
          <w:lang w:val="pl-PL"/>
        </w:rPr>
        <w:t>Delivering</w:t>
      </w:r>
      <w:proofErr w:type="spellEnd"/>
      <w:r>
        <w:rPr>
          <w:rFonts w:ascii="Arial" w:eastAsia="Arial" w:hAnsi="Arial" w:cs="Arial"/>
          <w:b/>
          <w:bCs/>
          <w:sz w:val="31"/>
          <w:szCs w:val="31"/>
          <w:lang w:val="pl-PL"/>
        </w:rPr>
        <w:t xml:space="preserve"> Ford+”</w:t>
      </w:r>
      <w:r w:rsidR="009F0582">
        <w:rPr>
          <w:rFonts w:ascii="Arial" w:eastAsia="Arial" w:hAnsi="Arial" w:cs="Arial"/>
          <w:b/>
          <w:bCs/>
          <w:sz w:val="31"/>
          <w:szCs w:val="31"/>
          <w:lang w:val="pl-PL"/>
        </w:rPr>
        <w:t>.</w:t>
      </w:r>
    </w:p>
    <w:p w14:paraId="457D5365" w14:textId="77777777" w:rsidR="00562A0F" w:rsidRDefault="00562A0F" w:rsidP="00562A0F">
      <w:pPr>
        <w:spacing w:before="10" w:line="260" w:lineRule="exact"/>
        <w:rPr>
          <w:sz w:val="26"/>
          <w:szCs w:val="26"/>
          <w:lang w:val="pl-PL"/>
        </w:rPr>
      </w:pPr>
    </w:p>
    <w:p w14:paraId="73F52DF1" w14:textId="3D87E011" w:rsidR="00562A0F" w:rsidRPr="009F0582" w:rsidRDefault="00562A0F" w:rsidP="009F0582">
      <w:pPr>
        <w:pStyle w:val="ListParagraph"/>
        <w:numPr>
          <w:ilvl w:val="0"/>
          <w:numId w:val="32"/>
        </w:numPr>
        <w:tabs>
          <w:tab w:val="left" w:pos="480"/>
        </w:tabs>
        <w:ind w:left="426"/>
        <w:rPr>
          <w:lang w:val="pl-PL"/>
        </w:rPr>
      </w:pPr>
      <w:r w:rsidRPr="009F0582">
        <w:rPr>
          <w:rFonts w:ascii="Arial" w:eastAsia="Arial" w:hAnsi="Arial" w:cs="Arial"/>
          <w:sz w:val="22"/>
          <w:szCs w:val="22"/>
          <w:lang w:val="pl-PL"/>
        </w:rPr>
        <w:t>Firma przedstawi szczegółowo priorytetowe obszary planu Ford+ na rzecz wzrostu i tworzenia wartości w oparciu o relacje z klientami oraz o pozycję lidera w dziedzinie pojazdów elektrycznych i usług opartych na łączności</w:t>
      </w:r>
      <w:r w:rsidR="009F0582">
        <w:rPr>
          <w:rFonts w:ascii="Arial" w:eastAsia="Arial" w:hAnsi="Arial" w:cs="Arial"/>
          <w:sz w:val="22"/>
          <w:szCs w:val="22"/>
          <w:lang w:val="pl-PL"/>
        </w:rPr>
        <w:t>.</w:t>
      </w:r>
    </w:p>
    <w:p w14:paraId="1FF0781B" w14:textId="77777777" w:rsidR="00562A0F" w:rsidRDefault="00562A0F" w:rsidP="009F0582">
      <w:pPr>
        <w:spacing w:before="9" w:line="130" w:lineRule="exact"/>
        <w:ind w:left="426"/>
        <w:rPr>
          <w:sz w:val="13"/>
          <w:szCs w:val="13"/>
          <w:lang w:val="pl-PL"/>
        </w:rPr>
      </w:pPr>
    </w:p>
    <w:p w14:paraId="673C5988" w14:textId="5F5D92BA" w:rsidR="00562A0F" w:rsidRPr="009F0582" w:rsidRDefault="00562A0F" w:rsidP="009F0582">
      <w:pPr>
        <w:pStyle w:val="ListParagraph"/>
        <w:numPr>
          <w:ilvl w:val="0"/>
          <w:numId w:val="32"/>
        </w:numPr>
        <w:tabs>
          <w:tab w:val="left" w:pos="480"/>
        </w:tabs>
        <w:spacing w:line="254" w:lineRule="exact"/>
        <w:ind w:left="426" w:right="136"/>
        <w:rPr>
          <w:lang w:val="pl-PL"/>
        </w:rPr>
      </w:pPr>
      <w:r w:rsidRPr="009F0582">
        <w:rPr>
          <w:rFonts w:ascii="Arial" w:eastAsia="Arial" w:hAnsi="Arial" w:cs="Arial"/>
          <w:spacing w:val="2"/>
          <w:sz w:val="22"/>
          <w:szCs w:val="22"/>
          <w:lang w:val="pl-PL"/>
        </w:rPr>
        <w:t xml:space="preserve">Przewiduje się, że do 2030 roku 40% globalnej sprzedaży pojazdów Forda będą stanowiły samochody w pełni elektryczne, firma zwiększa planowane wydatki na elektryfikację do ponad 30 miliardów dolarów do 2025 roku, w tym na rozwój akumulatorów </w:t>
      </w:r>
      <w:proofErr w:type="spellStart"/>
      <w:r w:rsidRPr="009F0582">
        <w:rPr>
          <w:rFonts w:ascii="Arial" w:eastAsia="Arial" w:hAnsi="Arial" w:cs="Arial"/>
          <w:spacing w:val="2"/>
          <w:sz w:val="22"/>
          <w:szCs w:val="22"/>
          <w:lang w:val="pl-PL"/>
        </w:rPr>
        <w:t>IonBoost</w:t>
      </w:r>
      <w:proofErr w:type="spellEnd"/>
      <w:r w:rsidR="009F0582">
        <w:rPr>
          <w:rFonts w:ascii="Arial" w:eastAsia="Arial" w:hAnsi="Arial" w:cs="Arial"/>
          <w:spacing w:val="2"/>
          <w:sz w:val="22"/>
          <w:szCs w:val="22"/>
          <w:lang w:val="pl-PL"/>
        </w:rPr>
        <w:t>.</w:t>
      </w:r>
    </w:p>
    <w:p w14:paraId="11439951" w14:textId="77777777" w:rsidR="00562A0F" w:rsidRDefault="00562A0F" w:rsidP="009F0582">
      <w:pPr>
        <w:spacing w:line="130" w:lineRule="exact"/>
        <w:ind w:left="426"/>
        <w:rPr>
          <w:sz w:val="13"/>
          <w:szCs w:val="13"/>
          <w:lang w:val="pl-PL"/>
        </w:rPr>
      </w:pPr>
    </w:p>
    <w:p w14:paraId="3EA85E1C" w14:textId="1EA3D995" w:rsidR="00562A0F" w:rsidRPr="009F0582" w:rsidRDefault="00562A0F" w:rsidP="009F0582">
      <w:pPr>
        <w:pStyle w:val="ListParagraph"/>
        <w:numPr>
          <w:ilvl w:val="0"/>
          <w:numId w:val="32"/>
        </w:numPr>
        <w:tabs>
          <w:tab w:val="left" w:pos="480"/>
        </w:tabs>
        <w:ind w:left="425" w:right="68" w:hanging="357"/>
        <w:rPr>
          <w:lang w:val="pl-PL"/>
        </w:rPr>
      </w:pPr>
      <w:r w:rsidRPr="009F0582">
        <w:rPr>
          <w:rFonts w:ascii="Arial" w:eastAsia="Arial" w:hAnsi="Arial" w:cs="Arial"/>
          <w:spacing w:val="2"/>
          <w:sz w:val="22"/>
          <w:szCs w:val="22"/>
          <w:lang w:val="pl-PL"/>
        </w:rPr>
        <w:t>Zapowiedź utworzenia działu usług i dystrybucji pojazdów Ford Pro, w pełni dostosowanego do wymagań klientów komercyjnych i rządowych pod względem wysokiej sprawności działania</w:t>
      </w:r>
      <w:r w:rsidR="009F0582">
        <w:rPr>
          <w:rFonts w:ascii="Arial" w:eastAsia="Arial" w:hAnsi="Arial" w:cs="Arial"/>
          <w:spacing w:val="2"/>
          <w:sz w:val="22"/>
          <w:szCs w:val="22"/>
          <w:lang w:val="pl-PL"/>
        </w:rPr>
        <w:t>.</w:t>
      </w:r>
    </w:p>
    <w:p w14:paraId="0EDEFE1A" w14:textId="77777777" w:rsidR="009F0582" w:rsidRPr="009F0582" w:rsidRDefault="009F0582" w:rsidP="009F0582">
      <w:pPr>
        <w:tabs>
          <w:tab w:val="left" w:pos="480"/>
        </w:tabs>
        <w:ind w:right="68"/>
        <w:rPr>
          <w:lang w:val="pl-PL"/>
        </w:rPr>
      </w:pPr>
    </w:p>
    <w:p w14:paraId="18EC36C8" w14:textId="264EF115" w:rsidR="00562A0F" w:rsidRPr="00005B97" w:rsidRDefault="009F0582" w:rsidP="009F0582">
      <w:pPr>
        <w:ind w:left="119" w:right="74"/>
        <w:rPr>
          <w:lang w:val="pl-PL"/>
        </w:rPr>
      </w:pPr>
      <w:r>
        <w:rPr>
          <w:rFonts w:ascii="Arial" w:eastAsia="Arial" w:hAnsi="Arial" w:cs="Arial"/>
          <w:b/>
          <w:bCs/>
          <w:sz w:val="22"/>
          <w:szCs w:val="22"/>
          <w:lang w:val="pl-PL"/>
        </w:rPr>
        <w:t>WARSZAWA</w:t>
      </w:r>
      <w:r w:rsidR="00562A0F">
        <w:rPr>
          <w:rFonts w:ascii="Arial" w:eastAsia="Arial" w:hAnsi="Arial" w:cs="Arial"/>
          <w:b/>
          <w:bCs/>
          <w:sz w:val="22"/>
          <w:szCs w:val="22"/>
          <w:lang w:val="pl-PL"/>
        </w:rPr>
        <w:t>, 2</w:t>
      </w:r>
      <w:r>
        <w:rPr>
          <w:rFonts w:ascii="Arial" w:eastAsia="Arial" w:hAnsi="Arial" w:cs="Arial"/>
          <w:b/>
          <w:bCs/>
          <w:sz w:val="22"/>
          <w:szCs w:val="22"/>
          <w:lang w:val="pl-PL"/>
        </w:rPr>
        <w:t>7</w:t>
      </w:r>
      <w:r w:rsidR="00562A0F">
        <w:rPr>
          <w:rFonts w:ascii="Arial" w:eastAsia="Arial" w:hAnsi="Arial" w:cs="Arial"/>
          <w:b/>
          <w:bCs/>
          <w:sz w:val="22"/>
          <w:szCs w:val="22"/>
          <w:lang w:val="pl-PL"/>
        </w:rPr>
        <w:t xml:space="preserve"> maja 2021</w:t>
      </w:r>
      <w:r>
        <w:rPr>
          <w:rFonts w:ascii="Arial" w:eastAsia="Arial" w:hAnsi="Arial" w:cs="Arial"/>
          <w:b/>
          <w:bCs/>
          <w:sz w:val="22"/>
          <w:szCs w:val="22"/>
          <w:lang w:val="pl-PL"/>
        </w:rPr>
        <w:t xml:space="preserve"> roku</w:t>
      </w:r>
      <w:r w:rsidR="00562A0F">
        <w:rPr>
          <w:rFonts w:ascii="Arial" w:eastAsia="Arial" w:hAnsi="Arial" w:cs="Arial"/>
          <w:b/>
          <w:bCs/>
          <w:sz w:val="22"/>
          <w:szCs w:val="22"/>
          <w:lang w:val="pl-PL"/>
        </w:rPr>
        <w:t xml:space="preserve"> </w:t>
      </w:r>
      <w:r w:rsidR="00562A0F">
        <w:rPr>
          <w:rFonts w:ascii="Arial" w:eastAsia="Arial" w:hAnsi="Arial" w:cs="Arial"/>
          <w:sz w:val="22"/>
          <w:szCs w:val="22"/>
          <w:lang w:val="pl-PL"/>
        </w:rPr>
        <w:t xml:space="preserve">– Pojazdy elektryczne zdolne do </w:t>
      </w:r>
      <w:proofErr w:type="spellStart"/>
      <w:r w:rsidR="00562A0F">
        <w:rPr>
          <w:rFonts w:ascii="Arial" w:eastAsia="Arial" w:hAnsi="Arial" w:cs="Arial"/>
          <w:sz w:val="22"/>
          <w:szCs w:val="22"/>
          <w:lang w:val="pl-PL"/>
        </w:rPr>
        <w:t>bezemisyjnej</w:t>
      </w:r>
      <w:proofErr w:type="spellEnd"/>
      <w:r w:rsidR="00562A0F">
        <w:rPr>
          <w:rFonts w:ascii="Arial" w:eastAsia="Arial" w:hAnsi="Arial" w:cs="Arial"/>
          <w:sz w:val="22"/>
          <w:szCs w:val="22"/>
          <w:lang w:val="pl-PL"/>
        </w:rPr>
        <w:t xml:space="preserve"> jazdy i zaawansowana łączność przekształcają transport komercyjny i indywidualny, a Ford przewodzi tej rewolucji, oferując atrakcyjne usługi oraz platformy oparte na najnowocześniejszej architekturze pojazdów elektrycznych, z najnowszymi systemami </w:t>
      </w:r>
    </w:p>
    <w:p w14:paraId="38FE6302" w14:textId="77777777" w:rsidR="00562A0F" w:rsidRPr="00005B97" w:rsidRDefault="00562A0F" w:rsidP="00562A0F">
      <w:pPr>
        <w:spacing w:line="248" w:lineRule="exact"/>
        <w:ind w:left="120"/>
        <w:rPr>
          <w:lang w:val="pl-PL"/>
        </w:rPr>
      </w:pPr>
      <w:r>
        <w:rPr>
          <w:rFonts w:ascii="Arial" w:eastAsia="Arial" w:hAnsi="Arial" w:cs="Arial"/>
          <w:spacing w:val="2"/>
          <w:sz w:val="22"/>
          <w:szCs w:val="22"/>
          <w:lang w:val="pl-PL"/>
        </w:rPr>
        <w:t>zasilania akumulatorowego.</w:t>
      </w:r>
    </w:p>
    <w:p w14:paraId="12292117" w14:textId="77777777" w:rsidR="00562A0F" w:rsidRDefault="00562A0F" w:rsidP="00562A0F">
      <w:pPr>
        <w:spacing w:before="17" w:line="240" w:lineRule="exact"/>
        <w:rPr>
          <w:sz w:val="24"/>
          <w:lang w:val="pl-PL"/>
        </w:rPr>
      </w:pPr>
    </w:p>
    <w:p w14:paraId="4EE72F45" w14:textId="77777777" w:rsidR="00562A0F" w:rsidRPr="00005B97" w:rsidRDefault="00562A0F" w:rsidP="00562A0F">
      <w:pPr>
        <w:spacing w:line="237" w:lineRule="auto"/>
        <w:ind w:left="120" w:right="59"/>
        <w:rPr>
          <w:lang w:val="pl-PL"/>
        </w:rPr>
      </w:pPr>
      <w:r>
        <w:rPr>
          <w:rFonts w:ascii="Arial" w:eastAsia="Arial" w:hAnsi="Arial" w:cs="Arial"/>
          <w:sz w:val="22"/>
          <w:szCs w:val="22"/>
          <w:lang w:val="pl-PL"/>
        </w:rPr>
        <w:t>Firma stosuje innowacje w tych i innych obszarach do stworzenia systemu usług Ford Pro, dzięki czemu Ford staje się pierwszym producentem samochodów, posiadającym w pełni wyspecjalizowaną działalność w zakresie usług i dystrybucji pojazdów użytkowych.</w:t>
      </w:r>
    </w:p>
    <w:p w14:paraId="160D4196" w14:textId="77777777" w:rsidR="00562A0F" w:rsidRDefault="00562A0F" w:rsidP="00562A0F">
      <w:pPr>
        <w:spacing w:before="2" w:line="260" w:lineRule="exact"/>
        <w:rPr>
          <w:sz w:val="26"/>
          <w:szCs w:val="26"/>
          <w:lang w:val="pl-PL"/>
        </w:rPr>
      </w:pPr>
    </w:p>
    <w:p w14:paraId="1599D0F7" w14:textId="77777777" w:rsidR="00562A0F" w:rsidRPr="00005B97" w:rsidRDefault="00562A0F" w:rsidP="00562A0F">
      <w:pPr>
        <w:spacing w:line="250" w:lineRule="exact"/>
        <w:ind w:left="120" w:right="395"/>
        <w:rPr>
          <w:lang w:val="pl-PL"/>
        </w:rPr>
      </w:pPr>
      <w:r>
        <w:rPr>
          <w:rFonts w:ascii="Arial" w:eastAsia="Arial" w:hAnsi="Arial" w:cs="Arial"/>
          <w:spacing w:val="2"/>
          <w:sz w:val="22"/>
          <w:szCs w:val="22"/>
          <w:lang w:val="pl-PL"/>
        </w:rPr>
        <w:t>Plan rozwoju Ford+ zapewni liczne korzyści klientom, a inwestorom nowe sposoby określania wartości firmy.</w:t>
      </w:r>
    </w:p>
    <w:p w14:paraId="48F2536B" w14:textId="77777777" w:rsidR="00562A0F" w:rsidRDefault="00562A0F" w:rsidP="00562A0F">
      <w:pPr>
        <w:spacing w:before="13" w:line="240" w:lineRule="exact"/>
        <w:rPr>
          <w:sz w:val="24"/>
          <w:lang w:val="pl-PL"/>
        </w:rPr>
      </w:pPr>
    </w:p>
    <w:p w14:paraId="137718D9" w14:textId="77777777" w:rsidR="00562A0F" w:rsidRPr="00005B97" w:rsidRDefault="00562A0F" w:rsidP="00562A0F">
      <w:pPr>
        <w:spacing w:line="237" w:lineRule="auto"/>
        <w:ind w:left="120" w:right="304"/>
        <w:rPr>
          <w:lang w:val="pl-PL"/>
        </w:rPr>
      </w:pPr>
      <w:r w:rsidRPr="009F0582">
        <w:rPr>
          <w:rFonts w:ascii="Arial" w:eastAsia="Arial" w:hAnsi="Arial" w:cs="Arial"/>
          <w:spacing w:val="5"/>
          <w:sz w:val="22"/>
          <w:szCs w:val="22"/>
          <w:lang w:val="pl-PL"/>
        </w:rPr>
        <w:t>Oczekuje się, że będą to główne punkty wirtualnego środowego spotkania z analitykami finansowymi i akcjonariuszami,</w:t>
      </w:r>
      <w:r>
        <w:rPr>
          <w:rFonts w:ascii="Arial" w:eastAsia="Arial" w:hAnsi="Arial" w:cs="Arial"/>
          <w:sz w:val="22"/>
          <w:szCs w:val="22"/>
          <w:lang w:val="pl-PL"/>
        </w:rPr>
        <w:t xml:space="preserve"> na którym prezes Forda Jim </w:t>
      </w:r>
      <w:proofErr w:type="spellStart"/>
      <w:r>
        <w:rPr>
          <w:rFonts w:ascii="Arial" w:eastAsia="Arial" w:hAnsi="Arial" w:cs="Arial"/>
          <w:sz w:val="22"/>
          <w:szCs w:val="22"/>
          <w:lang w:val="pl-PL"/>
        </w:rPr>
        <w:t>Farley</w:t>
      </w:r>
      <w:proofErr w:type="spellEnd"/>
      <w:r>
        <w:rPr>
          <w:rFonts w:ascii="Arial" w:eastAsia="Arial" w:hAnsi="Arial" w:cs="Arial"/>
          <w:sz w:val="22"/>
          <w:szCs w:val="22"/>
          <w:lang w:val="pl-PL"/>
        </w:rPr>
        <w:t xml:space="preserve"> i inni menadżerowie wyższego szczebla przedstawią strategiczne ambicje i działania firmy, skoncentrowane na realizowaniu potrzeb klientów.</w:t>
      </w:r>
    </w:p>
    <w:p w14:paraId="5B0102AA" w14:textId="77777777" w:rsidR="00562A0F" w:rsidRDefault="00562A0F" w:rsidP="00562A0F">
      <w:pPr>
        <w:spacing w:before="11" w:line="240" w:lineRule="exact"/>
        <w:rPr>
          <w:sz w:val="24"/>
          <w:lang w:val="pl-PL"/>
        </w:rPr>
      </w:pPr>
    </w:p>
    <w:p w14:paraId="461566D2" w14:textId="37E8E826" w:rsidR="00562A0F" w:rsidRPr="00005B97" w:rsidRDefault="00562A0F" w:rsidP="00562A0F">
      <w:pPr>
        <w:spacing w:before="26" w:line="237" w:lineRule="auto"/>
        <w:ind w:left="120" w:right="208"/>
        <w:rPr>
          <w:lang w:val="pl-PL"/>
        </w:rPr>
      </w:pPr>
      <w:r>
        <w:rPr>
          <w:rFonts w:ascii="Arial" w:eastAsia="Arial" w:hAnsi="Arial" w:cs="Arial"/>
          <w:sz w:val="22"/>
          <w:szCs w:val="22"/>
          <w:lang w:val="pl-PL"/>
        </w:rPr>
        <w:t xml:space="preserve">„Z nadzieją myślę o tym, co przyniesie plan Ford+ naszym klientom, którzy zyskają nowe, lepsze wrażenia, a to dzięki spojeniu naszych światowej klasy, kultowych samochodów z technologiami łączności, które z czasem pozwolą te samochody ulepszać” – powiedział Jim </w:t>
      </w:r>
      <w:proofErr w:type="spellStart"/>
      <w:r>
        <w:rPr>
          <w:rFonts w:ascii="Arial" w:eastAsia="Arial" w:hAnsi="Arial" w:cs="Arial"/>
          <w:sz w:val="22"/>
          <w:szCs w:val="22"/>
          <w:lang w:val="pl-PL"/>
        </w:rPr>
        <w:t>Farley</w:t>
      </w:r>
      <w:proofErr w:type="spellEnd"/>
      <w:r>
        <w:rPr>
          <w:rFonts w:ascii="Arial" w:eastAsia="Arial" w:hAnsi="Arial" w:cs="Arial"/>
          <w:sz w:val="22"/>
          <w:szCs w:val="22"/>
          <w:lang w:val="pl-PL"/>
        </w:rPr>
        <w:t>.   „Zapewnimy niższe koszty, wzmocnimy wzajemną lojalność i zagwarantujemy większe korzyści wszystkim naszym klientom</w:t>
      </w:r>
      <w:r w:rsidR="004C6AB4">
        <w:rPr>
          <w:rFonts w:ascii="Arial" w:eastAsia="Arial" w:hAnsi="Arial" w:cs="Arial"/>
          <w:sz w:val="22"/>
          <w:szCs w:val="22"/>
          <w:lang w:val="pl-PL"/>
        </w:rPr>
        <w:t>”</w:t>
      </w:r>
      <w:r>
        <w:rPr>
          <w:rFonts w:ascii="Arial" w:eastAsia="Arial" w:hAnsi="Arial" w:cs="Arial"/>
          <w:sz w:val="22"/>
          <w:szCs w:val="22"/>
          <w:lang w:val="pl-PL"/>
        </w:rPr>
        <w:t>.</w:t>
      </w:r>
    </w:p>
    <w:p w14:paraId="3E166599" w14:textId="77777777" w:rsidR="00562A0F" w:rsidRDefault="00562A0F" w:rsidP="00562A0F">
      <w:pPr>
        <w:spacing w:before="2" w:line="260" w:lineRule="exact"/>
        <w:rPr>
          <w:sz w:val="26"/>
          <w:szCs w:val="26"/>
          <w:lang w:val="pl-PL"/>
        </w:rPr>
      </w:pPr>
    </w:p>
    <w:p w14:paraId="7C447A37" w14:textId="77777777" w:rsidR="00562A0F" w:rsidRPr="00005B97" w:rsidRDefault="00562A0F" w:rsidP="00562A0F">
      <w:pPr>
        <w:spacing w:line="250" w:lineRule="exact"/>
        <w:ind w:left="120" w:right="203"/>
        <w:rPr>
          <w:lang w:val="pl-PL"/>
        </w:rPr>
      </w:pPr>
      <w:r>
        <w:rPr>
          <w:rFonts w:ascii="Arial" w:eastAsia="Arial" w:hAnsi="Arial" w:cs="Arial"/>
          <w:sz w:val="22"/>
          <w:szCs w:val="22"/>
          <w:lang w:val="pl-PL"/>
        </w:rPr>
        <w:t xml:space="preserve">„To nasza największa szansa na wzrost i tworzenie wartości od czasu, gdy Henry Ford zaczął wykorzystywać efekt skali, produkując Model T, a my chwytamy tę szansę obiema rękami.” </w:t>
      </w:r>
    </w:p>
    <w:p w14:paraId="6A1195CD" w14:textId="77777777" w:rsidR="00562A0F" w:rsidRDefault="00562A0F" w:rsidP="00562A0F">
      <w:pPr>
        <w:spacing w:before="12" w:line="240" w:lineRule="exact"/>
        <w:rPr>
          <w:sz w:val="24"/>
          <w:lang w:val="pl-PL"/>
        </w:rPr>
      </w:pPr>
    </w:p>
    <w:p w14:paraId="79B2CF4B" w14:textId="77777777" w:rsidR="009F0582" w:rsidRDefault="009F0582" w:rsidP="00562A0F">
      <w:pPr>
        <w:ind w:left="120"/>
        <w:rPr>
          <w:rFonts w:ascii="Arial" w:eastAsia="Arial" w:hAnsi="Arial" w:cs="Arial"/>
          <w:sz w:val="22"/>
          <w:szCs w:val="22"/>
          <w:u w:val="single" w:color="000000"/>
          <w:lang w:val="pl-PL"/>
        </w:rPr>
      </w:pPr>
    </w:p>
    <w:p w14:paraId="61C93A51" w14:textId="61664C50" w:rsidR="00562A0F" w:rsidRPr="00033F19" w:rsidRDefault="00562A0F" w:rsidP="00033F19">
      <w:pPr>
        <w:ind w:left="120"/>
        <w:rPr>
          <w:b/>
          <w:bCs/>
          <w:lang w:val="pl-PL"/>
        </w:rPr>
      </w:pPr>
      <w:proofErr w:type="spellStart"/>
      <w:r w:rsidRPr="009F0582">
        <w:rPr>
          <w:rFonts w:ascii="Arial" w:eastAsia="Arial" w:hAnsi="Arial" w:cs="Arial"/>
          <w:b/>
          <w:bCs/>
          <w:sz w:val="22"/>
          <w:szCs w:val="22"/>
          <w:u w:val="single" w:color="000000"/>
          <w:lang w:val="pl-PL"/>
        </w:rPr>
        <w:lastRenderedPageBreak/>
        <w:t>Delivering</w:t>
      </w:r>
      <w:proofErr w:type="spellEnd"/>
      <w:r w:rsidRPr="009F0582">
        <w:rPr>
          <w:rFonts w:ascii="Arial" w:eastAsia="Arial" w:hAnsi="Arial" w:cs="Arial"/>
          <w:b/>
          <w:bCs/>
          <w:sz w:val="22"/>
          <w:szCs w:val="22"/>
          <w:u w:val="single" w:color="000000"/>
          <w:lang w:val="pl-PL"/>
        </w:rPr>
        <w:t xml:space="preserve"> Ford+</w:t>
      </w:r>
    </w:p>
    <w:p w14:paraId="7FCF1781" w14:textId="0B05FA95" w:rsidR="00562A0F" w:rsidRPr="00005B97" w:rsidRDefault="00562A0F" w:rsidP="00033F19">
      <w:pPr>
        <w:ind w:left="120" w:right="117"/>
        <w:rPr>
          <w:lang w:val="pl-PL"/>
        </w:rPr>
      </w:pPr>
      <w:r>
        <w:rPr>
          <w:rFonts w:ascii="Arial" w:eastAsia="Arial" w:hAnsi="Arial" w:cs="Arial"/>
          <w:sz w:val="22"/>
          <w:szCs w:val="22"/>
          <w:lang w:val="pl-PL"/>
        </w:rPr>
        <w:t xml:space="preserve">Podczas spotkania Jim </w:t>
      </w:r>
      <w:proofErr w:type="spellStart"/>
      <w:r>
        <w:rPr>
          <w:rFonts w:ascii="Arial" w:eastAsia="Arial" w:hAnsi="Arial" w:cs="Arial"/>
          <w:sz w:val="22"/>
          <w:szCs w:val="22"/>
          <w:lang w:val="pl-PL"/>
        </w:rPr>
        <w:t>Farley</w:t>
      </w:r>
      <w:proofErr w:type="spellEnd"/>
      <w:r>
        <w:rPr>
          <w:rFonts w:ascii="Arial" w:eastAsia="Arial" w:hAnsi="Arial" w:cs="Arial"/>
          <w:sz w:val="22"/>
          <w:szCs w:val="22"/>
          <w:lang w:val="pl-PL"/>
        </w:rPr>
        <w:t xml:space="preserve"> opowie</w:t>
      </w:r>
      <w:r w:rsidR="009F0582">
        <w:rPr>
          <w:rFonts w:ascii="Arial" w:eastAsia="Arial" w:hAnsi="Arial" w:cs="Arial"/>
          <w:sz w:val="22"/>
          <w:szCs w:val="22"/>
          <w:lang w:val="pl-PL"/>
        </w:rPr>
        <w:t>dział</w:t>
      </w:r>
      <w:r>
        <w:rPr>
          <w:rFonts w:ascii="Arial" w:eastAsia="Arial" w:hAnsi="Arial" w:cs="Arial"/>
          <w:sz w:val="22"/>
          <w:szCs w:val="22"/>
          <w:lang w:val="pl-PL"/>
        </w:rPr>
        <w:t xml:space="preserve"> o tym, jak Ford odchodzi od tradycyjnego modelu biznesowego „wyprodukuj i sprzedaj”, który od dziesięcioleci dominował w branży motoryzacyjnej. Odchodzący od tego Ford+ wyróżnia się bliskimi, trwałymi relacjami z klientami, które są możliwe dzięki kluczowym kompetencjom firmy, poprawie wyników finansowych oraz potencjałowi i inwestycjom w przełomowe technologie.</w:t>
      </w:r>
    </w:p>
    <w:p w14:paraId="46C5A726" w14:textId="77777777" w:rsidR="00562A0F" w:rsidRDefault="00562A0F" w:rsidP="00562A0F">
      <w:pPr>
        <w:spacing w:line="237" w:lineRule="auto"/>
        <w:ind w:left="120" w:right="117"/>
        <w:rPr>
          <w:rFonts w:ascii="Arial" w:eastAsia="Arial" w:hAnsi="Arial" w:cs="Arial"/>
          <w:lang w:val="pl-PL"/>
        </w:rPr>
      </w:pPr>
    </w:p>
    <w:p w14:paraId="27AA3D3D" w14:textId="77777777" w:rsidR="00562A0F" w:rsidRPr="00005B97" w:rsidRDefault="00562A0F" w:rsidP="00562A0F">
      <w:pPr>
        <w:spacing w:line="237" w:lineRule="auto"/>
        <w:ind w:left="120" w:right="117"/>
        <w:rPr>
          <w:lang w:val="pl-PL"/>
        </w:rPr>
      </w:pPr>
      <w:r>
        <w:rPr>
          <w:rFonts w:ascii="Arial" w:eastAsia="Arial" w:hAnsi="Arial" w:cs="Arial"/>
          <w:spacing w:val="2"/>
          <w:sz w:val="22"/>
          <w:szCs w:val="22"/>
          <w:lang w:val="pl-PL"/>
        </w:rPr>
        <w:t xml:space="preserve">Kluczem do wykorzystania tych możliwości jest Blue </w:t>
      </w:r>
      <w:proofErr w:type="spellStart"/>
      <w:r>
        <w:rPr>
          <w:rFonts w:ascii="Arial" w:eastAsia="Arial" w:hAnsi="Arial" w:cs="Arial"/>
          <w:spacing w:val="2"/>
          <w:sz w:val="22"/>
          <w:szCs w:val="22"/>
          <w:lang w:val="pl-PL"/>
        </w:rPr>
        <w:t>Oval</w:t>
      </w:r>
      <w:proofErr w:type="spellEnd"/>
      <w:r>
        <w:rPr>
          <w:rFonts w:ascii="Arial" w:eastAsia="Arial" w:hAnsi="Arial" w:cs="Arial"/>
          <w:spacing w:val="2"/>
          <w:sz w:val="22"/>
          <w:szCs w:val="22"/>
          <w:lang w:val="pl-PL"/>
        </w:rPr>
        <w:t xml:space="preserve"> </w:t>
      </w:r>
      <w:proofErr w:type="spellStart"/>
      <w:r>
        <w:rPr>
          <w:rFonts w:ascii="Arial" w:eastAsia="Arial" w:hAnsi="Arial" w:cs="Arial"/>
          <w:spacing w:val="2"/>
          <w:sz w:val="22"/>
          <w:szCs w:val="22"/>
          <w:lang w:val="pl-PL"/>
        </w:rPr>
        <w:t>Intelligence</w:t>
      </w:r>
      <w:proofErr w:type="spellEnd"/>
      <w:r>
        <w:rPr>
          <w:rFonts w:ascii="Arial" w:eastAsia="Arial" w:hAnsi="Arial" w:cs="Arial"/>
          <w:spacing w:val="2"/>
          <w:sz w:val="22"/>
          <w:szCs w:val="22"/>
          <w:lang w:val="pl-PL"/>
        </w:rPr>
        <w:t>, oparta na chmurze platforma nowej generacji Forda, służąca do integracji systemów elektrycznych, dystrybucji energii, mocy obliczeniowych i oprogramowania w korzystających z systemów łączności pojazdach marek Ford i Lincoln.</w:t>
      </w:r>
    </w:p>
    <w:p w14:paraId="48FC1E3B" w14:textId="77777777" w:rsidR="00562A0F" w:rsidRDefault="00562A0F" w:rsidP="00562A0F">
      <w:pPr>
        <w:spacing w:before="16" w:line="240" w:lineRule="exact"/>
        <w:rPr>
          <w:sz w:val="24"/>
          <w:lang w:val="pl-PL"/>
        </w:rPr>
      </w:pPr>
    </w:p>
    <w:p w14:paraId="0B20ABCE" w14:textId="71DE2490" w:rsidR="00562A0F" w:rsidRPr="00005B97" w:rsidRDefault="00562A0F" w:rsidP="00562A0F">
      <w:pPr>
        <w:spacing w:line="237" w:lineRule="auto"/>
        <w:ind w:left="100" w:right="120"/>
        <w:rPr>
          <w:lang w:val="pl-PL"/>
        </w:rPr>
      </w:pPr>
      <w:r>
        <w:rPr>
          <w:rFonts w:ascii="Arial" w:eastAsia="Arial" w:hAnsi="Arial" w:cs="Arial"/>
          <w:spacing w:val="2"/>
          <w:sz w:val="22"/>
          <w:szCs w:val="22"/>
          <w:lang w:val="pl-PL"/>
        </w:rPr>
        <w:t>Podczas prezentacji zosta</w:t>
      </w:r>
      <w:r w:rsidR="009F0582">
        <w:rPr>
          <w:rFonts w:ascii="Arial" w:eastAsia="Arial" w:hAnsi="Arial" w:cs="Arial"/>
          <w:spacing w:val="2"/>
          <w:sz w:val="22"/>
          <w:szCs w:val="22"/>
          <w:lang w:val="pl-PL"/>
        </w:rPr>
        <w:t>ły</w:t>
      </w:r>
      <w:r>
        <w:rPr>
          <w:rFonts w:ascii="Arial" w:eastAsia="Arial" w:hAnsi="Arial" w:cs="Arial"/>
          <w:spacing w:val="2"/>
          <w:sz w:val="22"/>
          <w:szCs w:val="22"/>
          <w:lang w:val="pl-PL"/>
        </w:rPr>
        <w:t xml:space="preserve"> przedstawione szczegółowe informacje na temat tego, gdzie, dlaczego i w jaki sposób firma z</w:t>
      </w:r>
      <w:r w:rsidR="00033F19">
        <w:rPr>
          <w:rFonts w:ascii="Arial" w:eastAsia="Arial" w:hAnsi="Arial" w:cs="Arial"/>
          <w:spacing w:val="2"/>
          <w:sz w:val="22"/>
          <w:szCs w:val="22"/>
          <w:lang w:val="pl-PL"/>
        </w:rPr>
        <w:t>a</w:t>
      </w:r>
      <w:r>
        <w:rPr>
          <w:rFonts w:ascii="Arial" w:eastAsia="Arial" w:hAnsi="Arial" w:cs="Arial"/>
          <w:spacing w:val="2"/>
          <w:sz w:val="22"/>
          <w:szCs w:val="22"/>
          <w:lang w:val="pl-PL"/>
        </w:rPr>
        <w:t xml:space="preserve">mierza oferować w pełni elektryczne pojazdy, rozwiązania biznesowe i usługi oparte na łączności oraz jakie korzyści z tej zmiany uzyskają klienci.  Dyrektor finansowy John </w:t>
      </w:r>
      <w:proofErr w:type="spellStart"/>
      <w:r>
        <w:rPr>
          <w:rFonts w:ascii="Arial" w:eastAsia="Arial" w:hAnsi="Arial" w:cs="Arial"/>
          <w:spacing w:val="2"/>
          <w:sz w:val="22"/>
          <w:szCs w:val="22"/>
          <w:lang w:val="pl-PL"/>
        </w:rPr>
        <w:t>Lawler</w:t>
      </w:r>
      <w:proofErr w:type="spellEnd"/>
      <w:r>
        <w:rPr>
          <w:rFonts w:ascii="Arial" w:eastAsia="Arial" w:hAnsi="Arial" w:cs="Arial"/>
          <w:spacing w:val="2"/>
          <w:sz w:val="22"/>
          <w:szCs w:val="22"/>
          <w:lang w:val="pl-PL"/>
        </w:rPr>
        <w:t xml:space="preserve"> potwierdził, że Ford przeznacza odpowiednie środki na te priorytetowe obszary, aby osiągnąć wartość oczekiwane przez klientów i akcjonariuszy.</w:t>
      </w:r>
    </w:p>
    <w:p w14:paraId="7F6BC6AA" w14:textId="77777777" w:rsidR="00562A0F" w:rsidRDefault="00562A0F" w:rsidP="00562A0F">
      <w:pPr>
        <w:spacing w:before="11" w:line="240" w:lineRule="exact"/>
        <w:rPr>
          <w:sz w:val="24"/>
          <w:lang w:val="pl-PL"/>
        </w:rPr>
      </w:pPr>
    </w:p>
    <w:p w14:paraId="64B156E0" w14:textId="77777777" w:rsidR="00562A0F" w:rsidRPr="00005B97" w:rsidRDefault="00562A0F" w:rsidP="00562A0F">
      <w:pPr>
        <w:ind w:left="100" w:right="394"/>
        <w:rPr>
          <w:lang w:val="pl-PL"/>
        </w:rPr>
      </w:pPr>
      <w:r>
        <w:rPr>
          <w:rFonts w:ascii="Arial" w:eastAsia="Arial" w:hAnsi="Arial" w:cs="Arial"/>
          <w:sz w:val="22"/>
          <w:szCs w:val="22"/>
          <w:lang w:val="pl-PL"/>
        </w:rPr>
        <w:t xml:space="preserve">„Napędzamy realizację planu Ford+ poprzez dalsze wzmacnianie naszej podstawowej działalności motoryzacyjnej i konsekwentne generowanie solidnych przepływów pieniężnych, które będą finansowały rozwój i tworzyły wartość” – powiedział John </w:t>
      </w:r>
      <w:proofErr w:type="spellStart"/>
      <w:r>
        <w:rPr>
          <w:rFonts w:ascii="Arial" w:eastAsia="Arial" w:hAnsi="Arial" w:cs="Arial"/>
          <w:sz w:val="22"/>
          <w:szCs w:val="22"/>
          <w:lang w:val="pl-PL"/>
        </w:rPr>
        <w:t>Lawler</w:t>
      </w:r>
      <w:proofErr w:type="spellEnd"/>
      <w:r>
        <w:rPr>
          <w:rFonts w:ascii="Arial" w:eastAsia="Arial" w:hAnsi="Arial" w:cs="Arial"/>
          <w:sz w:val="22"/>
          <w:szCs w:val="22"/>
          <w:lang w:val="pl-PL"/>
        </w:rPr>
        <w:t>.</w:t>
      </w:r>
    </w:p>
    <w:p w14:paraId="025EB79B" w14:textId="77777777" w:rsidR="00562A0F" w:rsidRDefault="00562A0F" w:rsidP="00562A0F">
      <w:pPr>
        <w:ind w:left="100" w:right="394"/>
        <w:rPr>
          <w:rFonts w:ascii="Arial" w:eastAsia="Arial" w:hAnsi="Arial" w:cs="Arial"/>
          <w:lang w:val="pl-PL"/>
        </w:rPr>
      </w:pPr>
    </w:p>
    <w:p w14:paraId="06B65BD3" w14:textId="77777777" w:rsidR="00562A0F" w:rsidRPr="00005B97" w:rsidRDefault="00562A0F" w:rsidP="00562A0F">
      <w:pPr>
        <w:ind w:left="100" w:right="394"/>
        <w:rPr>
          <w:lang w:val="pl-PL"/>
        </w:rPr>
      </w:pPr>
      <w:r>
        <w:rPr>
          <w:rFonts w:ascii="Arial" w:eastAsia="Arial" w:hAnsi="Arial" w:cs="Arial"/>
          <w:sz w:val="22"/>
          <w:szCs w:val="22"/>
          <w:lang w:val="pl-PL"/>
        </w:rPr>
        <w:t>Firma planuje osiągnięcie skorygowanej marży EBIT (zysk przed odliczeniem podatków i odsetek) w 2023 roku na poziomie 8%.</w:t>
      </w:r>
      <w:r>
        <w:rPr>
          <w:rFonts w:ascii="Arial" w:eastAsia="Arial" w:hAnsi="Arial" w:cs="Arial"/>
          <w:sz w:val="22"/>
          <w:szCs w:val="22"/>
          <w:vertAlign w:val="superscript"/>
          <w:lang w:val="pl-PL"/>
        </w:rPr>
        <w:t>1</w:t>
      </w:r>
    </w:p>
    <w:p w14:paraId="1CED6F12" w14:textId="59FA339A" w:rsidR="00562A0F" w:rsidRPr="00005B97" w:rsidRDefault="00033F19" w:rsidP="00562A0F">
      <w:pPr>
        <w:tabs>
          <w:tab w:val="left" w:pos="9764"/>
        </w:tabs>
        <w:spacing w:before="51" w:line="508" w:lineRule="exact"/>
        <w:ind w:left="99"/>
        <w:rPr>
          <w:lang w:val="pl-PL"/>
        </w:rPr>
      </w:pPr>
      <w:r>
        <w:rPr>
          <w:rFonts w:ascii="Arial" w:eastAsia="Arial" w:hAnsi="Arial" w:cs="Arial"/>
          <w:sz w:val="22"/>
          <w:szCs w:val="22"/>
          <w:lang w:val="pl-PL"/>
        </w:rPr>
        <w:t>S</w:t>
      </w:r>
      <w:r w:rsidR="00562A0F">
        <w:rPr>
          <w:rFonts w:ascii="Arial" w:eastAsia="Arial" w:hAnsi="Arial" w:cs="Arial"/>
          <w:sz w:val="22"/>
          <w:szCs w:val="22"/>
          <w:lang w:val="pl-PL"/>
        </w:rPr>
        <w:t>potkanie poświęcone b</w:t>
      </w:r>
      <w:r>
        <w:rPr>
          <w:rFonts w:ascii="Arial" w:eastAsia="Arial" w:hAnsi="Arial" w:cs="Arial"/>
          <w:sz w:val="22"/>
          <w:szCs w:val="22"/>
          <w:lang w:val="pl-PL"/>
        </w:rPr>
        <w:t>yło</w:t>
      </w:r>
      <w:r w:rsidR="00562A0F">
        <w:rPr>
          <w:rFonts w:ascii="Arial" w:eastAsia="Arial" w:hAnsi="Arial" w:cs="Arial"/>
          <w:sz w:val="22"/>
          <w:szCs w:val="22"/>
          <w:lang w:val="pl-PL"/>
        </w:rPr>
        <w:t xml:space="preserve"> t</w:t>
      </w:r>
      <w:r>
        <w:rPr>
          <w:rFonts w:ascii="Arial" w:eastAsia="Arial" w:hAnsi="Arial" w:cs="Arial"/>
          <w:sz w:val="22"/>
          <w:szCs w:val="22"/>
          <w:lang w:val="pl-PL"/>
        </w:rPr>
        <w:t>y</w:t>
      </w:r>
      <w:r w:rsidR="00562A0F">
        <w:rPr>
          <w:rFonts w:ascii="Arial" w:eastAsia="Arial" w:hAnsi="Arial" w:cs="Arial"/>
          <w:sz w:val="22"/>
          <w:szCs w:val="22"/>
          <w:lang w:val="pl-PL"/>
        </w:rPr>
        <w:t xml:space="preserve">m poniższym kierunkom działalności firmy Ford: </w:t>
      </w:r>
    </w:p>
    <w:p w14:paraId="71759B27" w14:textId="77777777" w:rsidR="00033F19" w:rsidRDefault="00033F19" w:rsidP="00033F19">
      <w:pPr>
        <w:ind w:left="100" w:right="5558"/>
        <w:rPr>
          <w:rFonts w:ascii="Arial" w:eastAsia="Arial" w:hAnsi="Arial" w:cs="Arial"/>
          <w:spacing w:val="2"/>
          <w:sz w:val="22"/>
          <w:szCs w:val="22"/>
          <w:u w:val="single" w:color="000000"/>
          <w:lang w:val="pl-PL"/>
        </w:rPr>
      </w:pPr>
    </w:p>
    <w:p w14:paraId="5BCABF99" w14:textId="6FC4F19A" w:rsidR="00562A0F" w:rsidRPr="00005B97" w:rsidRDefault="00562A0F" w:rsidP="00033F19">
      <w:pPr>
        <w:ind w:left="100" w:right="5558"/>
        <w:rPr>
          <w:lang w:val="pl-PL"/>
        </w:rPr>
      </w:pPr>
      <w:r>
        <w:rPr>
          <w:rFonts w:ascii="Arial" w:eastAsia="Arial" w:hAnsi="Arial" w:cs="Arial"/>
          <w:spacing w:val="2"/>
          <w:sz w:val="22"/>
          <w:szCs w:val="22"/>
          <w:u w:val="single" w:color="000000"/>
          <w:lang w:val="pl-PL"/>
        </w:rPr>
        <w:t>Na czele elektrycznej rewolucji</w:t>
      </w:r>
    </w:p>
    <w:p w14:paraId="0C2538C6" w14:textId="4090C872" w:rsidR="00562A0F" w:rsidRPr="00033F19" w:rsidRDefault="00562A0F" w:rsidP="00033F19">
      <w:pPr>
        <w:pStyle w:val="ListParagraph"/>
        <w:numPr>
          <w:ilvl w:val="0"/>
          <w:numId w:val="33"/>
        </w:numPr>
        <w:tabs>
          <w:tab w:val="left" w:pos="460"/>
        </w:tabs>
        <w:ind w:left="426" w:right="181"/>
        <w:rPr>
          <w:lang w:val="pl-PL"/>
        </w:rPr>
      </w:pPr>
      <w:r w:rsidRPr="00033F19">
        <w:rPr>
          <w:rFonts w:ascii="Arial" w:eastAsia="Arial" w:hAnsi="Arial" w:cs="Arial"/>
          <w:spacing w:val="2"/>
          <w:sz w:val="22"/>
          <w:szCs w:val="22"/>
          <w:lang w:val="pl-PL"/>
        </w:rPr>
        <w:t>Przyspieszenie inwestycji i zwiększenie planowanych ogólnych wydatków na elektryfikację, w tym na rozwój akumulatorów, do ponad 30 miliardów dolarów do 2025 roku, przy jednoczesnym czerpaniu korzyści z elastycznej architektury samochodów elektrycznych Forda i technologii modułowych.</w:t>
      </w:r>
    </w:p>
    <w:p w14:paraId="0AFFBA2E" w14:textId="77777777" w:rsidR="00562A0F" w:rsidRDefault="00562A0F" w:rsidP="00562A0F">
      <w:pPr>
        <w:spacing w:before="2" w:line="130" w:lineRule="exact"/>
        <w:rPr>
          <w:sz w:val="13"/>
          <w:szCs w:val="13"/>
          <w:lang w:val="pl-PL"/>
        </w:rPr>
      </w:pPr>
    </w:p>
    <w:p w14:paraId="0F963DAC" w14:textId="7FCD1865" w:rsidR="00562A0F" w:rsidRPr="00033F19" w:rsidRDefault="00562A0F" w:rsidP="00033F19">
      <w:pPr>
        <w:pStyle w:val="ListParagraph"/>
        <w:numPr>
          <w:ilvl w:val="0"/>
          <w:numId w:val="33"/>
        </w:numPr>
        <w:tabs>
          <w:tab w:val="left" w:pos="460"/>
        </w:tabs>
        <w:ind w:left="426"/>
        <w:rPr>
          <w:lang w:val="pl-PL"/>
        </w:rPr>
      </w:pPr>
      <w:r w:rsidRPr="00033F19">
        <w:rPr>
          <w:rFonts w:ascii="Arial" w:eastAsia="Arial" w:hAnsi="Arial" w:cs="Arial"/>
          <w:spacing w:val="2"/>
          <w:sz w:val="22"/>
          <w:szCs w:val="22"/>
          <w:lang w:val="pl-PL"/>
        </w:rPr>
        <w:t>Przewiduje się, że do 2030 roku 40% globalnego wolumenu pojazdów Forda będzie w pełni elektrycznych, w tym:</w:t>
      </w:r>
    </w:p>
    <w:p w14:paraId="11C8A37D" w14:textId="77777777" w:rsidR="00562A0F" w:rsidRDefault="00562A0F" w:rsidP="00562A0F">
      <w:pPr>
        <w:spacing w:before="2" w:line="100" w:lineRule="exact"/>
        <w:rPr>
          <w:sz w:val="10"/>
          <w:szCs w:val="10"/>
          <w:lang w:val="pl-PL"/>
        </w:rPr>
      </w:pPr>
    </w:p>
    <w:p w14:paraId="5934A822" w14:textId="2AEC8BEF" w:rsidR="00562A0F" w:rsidRPr="00005B97" w:rsidRDefault="00562A0F" w:rsidP="00562A0F">
      <w:pPr>
        <w:tabs>
          <w:tab w:val="left" w:pos="1180"/>
        </w:tabs>
        <w:ind w:left="820"/>
        <w:rPr>
          <w:lang w:val="pl-PL"/>
        </w:rPr>
      </w:pPr>
      <w:r>
        <w:rPr>
          <w:rFonts w:ascii="Courier New" w:eastAsia="Courier New" w:hAnsi="Courier New" w:cs="Courier New"/>
          <w:sz w:val="22"/>
          <w:szCs w:val="22"/>
          <w:lang w:val="pl-PL"/>
        </w:rPr>
        <w:t>o</w:t>
      </w:r>
      <w:r>
        <w:rPr>
          <w:rFonts w:ascii="Courier New" w:eastAsia="Courier New" w:hAnsi="Courier New" w:cs="Courier New"/>
          <w:sz w:val="22"/>
          <w:szCs w:val="22"/>
          <w:lang w:val="pl-PL"/>
        </w:rPr>
        <w:tab/>
      </w:r>
      <w:r>
        <w:rPr>
          <w:rFonts w:ascii="Arial" w:eastAsia="Arial" w:hAnsi="Arial" w:cs="Arial"/>
          <w:sz w:val="22"/>
          <w:szCs w:val="22"/>
          <w:lang w:val="pl-PL"/>
        </w:rPr>
        <w:t>Mustang Mach-E, który pozyskuje nowych klientów dla Forda – do tej pory 70% takich nabywców</w:t>
      </w:r>
      <w:r w:rsidR="00033F19">
        <w:rPr>
          <w:rFonts w:ascii="Arial" w:eastAsia="Arial" w:hAnsi="Arial" w:cs="Arial"/>
          <w:sz w:val="22"/>
          <w:szCs w:val="22"/>
          <w:lang w:val="pl-PL"/>
        </w:rPr>
        <w:t>,</w:t>
      </w:r>
    </w:p>
    <w:p w14:paraId="54230342" w14:textId="77777777" w:rsidR="00562A0F" w:rsidRDefault="00562A0F" w:rsidP="00562A0F">
      <w:pPr>
        <w:spacing w:line="100" w:lineRule="exact"/>
        <w:rPr>
          <w:sz w:val="10"/>
          <w:szCs w:val="10"/>
          <w:lang w:val="pl-PL"/>
        </w:rPr>
      </w:pPr>
    </w:p>
    <w:p w14:paraId="5E40CBD3" w14:textId="4FC12252" w:rsidR="00562A0F" w:rsidRPr="00005B97" w:rsidRDefault="00562A0F" w:rsidP="00562A0F">
      <w:pPr>
        <w:tabs>
          <w:tab w:val="left" w:pos="1180"/>
        </w:tabs>
        <w:spacing w:line="254" w:lineRule="exact"/>
        <w:ind w:left="836" w:right="170"/>
        <w:rPr>
          <w:lang w:val="pl-PL"/>
        </w:rPr>
      </w:pPr>
      <w:r>
        <w:rPr>
          <w:rFonts w:ascii="Courier New" w:eastAsia="Courier New" w:hAnsi="Courier New" w:cs="Courier New"/>
          <w:sz w:val="22"/>
          <w:szCs w:val="22"/>
          <w:lang w:val="pl-PL"/>
        </w:rPr>
        <w:t>o</w:t>
      </w:r>
      <w:r>
        <w:rPr>
          <w:rFonts w:ascii="Courier New" w:eastAsia="Courier New" w:hAnsi="Courier New" w:cs="Courier New"/>
          <w:sz w:val="22"/>
          <w:szCs w:val="22"/>
          <w:lang w:val="pl-PL"/>
        </w:rPr>
        <w:tab/>
      </w:r>
      <w:r>
        <w:rPr>
          <w:rFonts w:ascii="Arial" w:eastAsia="Arial" w:hAnsi="Arial" w:cs="Arial"/>
          <w:sz w:val="22"/>
          <w:szCs w:val="22"/>
          <w:lang w:val="pl-PL"/>
        </w:rPr>
        <w:t xml:space="preserve">F-150 </w:t>
      </w:r>
      <w:proofErr w:type="spellStart"/>
      <w:r>
        <w:rPr>
          <w:rFonts w:ascii="Arial" w:eastAsia="Arial" w:hAnsi="Arial" w:cs="Arial"/>
          <w:sz w:val="22"/>
          <w:szCs w:val="22"/>
          <w:lang w:val="pl-PL"/>
        </w:rPr>
        <w:t>Lightning</w:t>
      </w:r>
      <w:proofErr w:type="spellEnd"/>
      <w:r>
        <w:rPr>
          <w:rFonts w:ascii="Arial" w:eastAsia="Arial" w:hAnsi="Arial" w:cs="Arial"/>
          <w:sz w:val="22"/>
          <w:szCs w:val="22"/>
          <w:lang w:val="pl-PL"/>
        </w:rPr>
        <w:t>, całkowicie elektryczna wersja najpopularniejszego pickupa na świecie, na którą zebrano 70 000 rezerwacji klientów od momentu prezentacji samochodu tydzień temu oraz</w:t>
      </w:r>
      <w:r w:rsidR="00033F19">
        <w:rPr>
          <w:rFonts w:ascii="Arial" w:eastAsia="Arial" w:hAnsi="Arial" w:cs="Arial"/>
          <w:sz w:val="22"/>
          <w:szCs w:val="22"/>
          <w:lang w:val="pl-PL"/>
        </w:rPr>
        <w:t>,</w:t>
      </w:r>
    </w:p>
    <w:p w14:paraId="76D8371D" w14:textId="77777777" w:rsidR="00562A0F" w:rsidRDefault="00562A0F" w:rsidP="00562A0F">
      <w:pPr>
        <w:spacing w:before="2" w:line="110" w:lineRule="exact"/>
        <w:rPr>
          <w:sz w:val="11"/>
          <w:szCs w:val="11"/>
          <w:lang w:val="pl-PL"/>
        </w:rPr>
      </w:pPr>
    </w:p>
    <w:p w14:paraId="5FC74F17" w14:textId="77777777" w:rsidR="00562A0F" w:rsidRPr="00005B97" w:rsidRDefault="00562A0F" w:rsidP="00562A0F">
      <w:pPr>
        <w:tabs>
          <w:tab w:val="left" w:pos="1180"/>
        </w:tabs>
        <w:ind w:left="820"/>
        <w:rPr>
          <w:lang w:val="pl-PL"/>
        </w:rPr>
      </w:pPr>
      <w:r>
        <w:rPr>
          <w:rFonts w:ascii="Courier New" w:eastAsia="Courier New" w:hAnsi="Courier New" w:cs="Courier New"/>
          <w:sz w:val="22"/>
          <w:szCs w:val="22"/>
          <w:lang w:val="pl-PL"/>
        </w:rPr>
        <w:t>o</w:t>
      </w:r>
      <w:r>
        <w:rPr>
          <w:rFonts w:ascii="Courier New" w:eastAsia="Courier New" w:hAnsi="Courier New" w:cs="Courier New"/>
          <w:sz w:val="22"/>
          <w:szCs w:val="22"/>
          <w:lang w:val="pl-PL"/>
        </w:rPr>
        <w:tab/>
      </w:r>
      <w:r>
        <w:rPr>
          <w:rFonts w:ascii="Arial" w:eastAsia="Arial" w:hAnsi="Arial" w:cs="Arial"/>
          <w:spacing w:val="2"/>
          <w:sz w:val="22"/>
          <w:szCs w:val="22"/>
          <w:lang w:val="pl-PL"/>
        </w:rPr>
        <w:t>E-Transit – samochód dostawczy, który pojawi się na drogach jeszcze w tym roku.</w:t>
      </w:r>
    </w:p>
    <w:p w14:paraId="7C32136C" w14:textId="77777777" w:rsidR="00562A0F" w:rsidRDefault="00562A0F" w:rsidP="00562A0F">
      <w:pPr>
        <w:spacing w:before="10" w:line="110" w:lineRule="exact"/>
        <w:rPr>
          <w:sz w:val="11"/>
          <w:szCs w:val="11"/>
          <w:lang w:val="pl-PL"/>
        </w:rPr>
      </w:pPr>
    </w:p>
    <w:p w14:paraId="28200FEB" w14:textId="5892CD4C" w:rsidR="00562A0F" w:rsidRPr="00033F19" w:rsidRDefault="00562A0F" w:rsidP="00033F19">
      <w:pPr>
        <w:pStyle w:val="ListParagraph"/>
        <w:numPr>
          <w:ilvl w:val="0"/>
          <w:numId w:val="38"/>
        </w:numPr>
        <w:tabs>
          <w:tab w:val="left" w:pos="460"/>
        </w:tabs>
        <w:spacing w:line="254" w:lineRule="exact"/>
        <w:ind w:left="426" w:right="170"/>
        <w:rPr>
          <w:lang w:val="pl-PL"/>
        </w:rPr>
      </w:pPr>
      <w:r w:rsidRPr="00033F19">
        <w:rPr>
          <w:rFonts w:ascii="Arial" w:eastAsia="Arial" w:hAnsi="Arial" w:cs="Arial"/>
          <w:sz w:val="22"/>
          <w:szCs w:val="22"/>
          <w:lang w:val="pl-PL"/>
        </w:rPr>
        <w:t>Inwestowanie w technologie akumulatorowe i wyposażenie Forda w urządzenia do projektowania, konstruowania i produkcji własnych akumulatorów, przy czym kluczowe kierunki działań, to:</w:t>
      </w:r>
    </w:p>
    <w:p w14:paraId="710F839C" w14:textId="77777777" w:rsidR="00562A0F" w:rsidRDefault="00562A0F" w:rsidP="00562A0F">
      <w:pPr>
        <w:spacing w:before="2" w:line="110" w:lineRule="exact"/>
        <w:rPr>
          <w:sz w:val="11"/>
          <w:szCs w:val="11"/>
          <w:lang w:val="pl-PL"/>
        </w:rPr>
      </w:pPr>
    </w:p>
    <w:p w14:paraId="7B38DE52" w14:textId="3F4E7D1B" w:rsidR="00562A0F" w:rsidRPr="00005B97" w:rsidRDefault="00562A0F" w:rsidP="00562A0F">
      <w:pPr>
        <w:tabs>
          <w:tab w:val="left" w:pos="1180"/>
        </w:tabs>
        <w:ind w:left="820"/>
        <w:rPr>
          <w:lang w:val="pl-PL"/>
        </w:rPr>
      </w:pPr>
      <w:r>
        <w:rPr>
          <w:rFonts w:ascii="Courier New" w:eastAsia="Courier New" w:hAnsi="Courier New" w:cs="Courier New"/>
          <w:sz w:val="22"/>
          <w:szCs w:val="22"/>
          <w:lang w:val="pl-PL"/>
        </w:rPr>
        <w:t>o</w:t>
      </w:r>
      <w:r>
        <w:rPr>
          <w:rFonts w:ascii="Courier New" w:eastAsia="Courier New" w:hAnsi="Courier New" w:cs="Courier New"/>
          <w:sz w:val="22"/>
          <w:szCs w:val="22"/>
          <w:lang w:val="pl-PL"/>
        </w:rPr>
        <w:tab/>
      </w:r>
      <w:r>
        <w:rPr>
          <w:rFonts w:ascii="Arial" w:eastAsia="Arial" w:hAnsi="Arial" w:cs="Arial"/>
          <w:sz w:val="22"/>
          <w:szCs w:val="22"/>
          <w:lang w:val="pl-PL"/>
        </w:rPr>
        <w:t xml:space="preserve">Stworzenie Ford </w:t>
      </w:r>
      <w:proofErr w:type="spellStart"/>
      <w:r>
        <w:rPr>
          <w:rFonts w:ascii="Arial" w:eastAsia="Arial" w:hAnsi="Arial" w:cs="Arial"/>
          <w:sz w:val="22"/>
          <w:szCs w:val="22"/>
          <w:lang w:val="pl-PL"/>
        </w:rPr>
        <w:t>Ion</w:t>
      </w:r>
      <w:proofErr w:type="spellEnd"/>
      <w:r>
        <w:rPr>
          <w:rFonts w:ascii="Arial" w:eastAsia="Arial" w:hAnsi="Arial" w:cs="Arial"/>
          <w:sz w:val="22"/>
          <w:szCs w:val="22"/>
          <w:lang w:val="pl-PL"/>
        </w:rPr>
        <w:t xml:space="preserve"> Park, globalnego centrum kompetencji w dziedzinie akumulatorów, skupiającego ponad </w:t>
      </w:r>
      <w:r>
        <w:rPr>
          <w:rFonts w:ascii="Arial" w:eastAsia="Arial" w:hAnsi="Arial" w:cs="Arial"/>
          <w:spacing w:val="2"/>
          <w:sz w:val="22"/>
          <w:szCs w:val="22"/>
          <w:lang w:val="pl-PL"/>
        </w:rPr>
        <w:t xml:space="preserve">150 ekspertów w dziedzinie chemii akumulatorów, testowania, produkcji i zarządzania łańcuchem wartości, </w:t>
      </w:r>
      <w:r>
        <w:rPr>
          <w:rFonts w:ascii="Arial" w:eastAsia="Arial" w:hAnsi="Arial" w:cs="Arial"/>
          <w:sz w:val="22"/>
          <w:szCs w:val="22"/>
          <w:lang w:val="pl-PL"/>
        </w:rPr>
        <w:t xml:space="preserve">którzy zwiększą zasięg </w:t>
      </w:r>
      <w:r>
        <w:rPr>
          <w:rFonts w:ascii="Arial" w:eastAsia="Arial" w:hAnsi="Arial" w:cs="Arial"/>
          <w:sz w:val="22"/>
          <w:szCs w:val="22"/>
          <w:lang w:val="pl-PL"/>
        </w:rPr>
        <w:lastRenderedPageBreak/>
        <w:t>zapewniany przez akumulatory oraz obniżą koszty ponoszone przez klientów i przez Forda</w:t>
      </w:r>
      <w:r w:rsidR="00033F19">
        <w:rPr>
          <w:rFonts w:ascii="Arial" w:eastAsia="Arial" w:hAnsi="Arial" w:cs="Arial"/>
          <w:sz w:val="22"/>
          <w:szCs w:val="22"/>
          <w:lang w:val="pl-PL"/>
        </w:rPr>
        <w:t>,</w:t>
      </w:r>
    </w:p>
    <w:p w14:paraId="4FB5EA4C" w14:textId="77777777" w:rsidR="00562A0F" w:rsidRDefault="00562A0F" w:rsidP="00562A0F">
      <w:pPr>
        <w:spacing w:before="10" w:line="110" w:lineRule="exact"/>
        <w:rPr>
          <w:sz w:val="11"/>
          <w:szCs w:val="11"/>
          <w:lang w:val="pl-PL"/>
        </w:rPr>
      </w:pPr>
    </w:p>
    <w:p w14:paraId="10EA3EDA" w14:textId="41223C11" w:rsidR="00562A0F" w:rsidRPr="00005B97" w:rsidRDefault="00562A0F" w:rsidP="00562A0F">
      <w:pPr>
        <w:tabs>
          <w:tab w:val="left" w:pos="1180"/>
        </w:tabs>
        <w:spacing w:line="254" w:lineRule="exact"/>
        <w:ind w:left="865" w:right="184"/>
        <w:rPr>
          <w:lang w:val="pl-PL"/>
        </w:rPr>
      </w:pPr>
      <w:r>
        <w:rPr>
          <w:rFonts w:ascii="Courier New" w:eastAsia="Courier New" w:hAnsi="Courier New" w:cs="Courier New"/>
          <w:sz w:val="22"/>
          <w:szCs w:val="22"/>
          <w:lang w:val="pl-PL"/>
        </w:rPr>
        <w:t>o</w:t>
      </w:r>
      <w:r>
        <w:rPr>
          <w:rFonts w:ascii="Courier New" w:eastAsia="Courier New" w:hAnsi="Courier New" w:cs="Courier New"/>
          <w:sz w:val="22"/>
          <w:szCs w:val="22"/>
          <w:lang w:val="pl-PL"/>
        </w:rPr>
        <w:tab/>
      </w:r>
      <w:r>
        <w:rPr>
          <w:rFonts w:ascii="Arial" w:eastAsia="Arial" w:hAnsi="Arial" w:cs="Arial"/>
          <w:spacing w:val="2"/>
          <w:sz w:val="22"/>
          <w:szCs w:val="22"/>
          <w:lang w:val="pl-PL"/>
        </w:rPr>
        <w:t xml:space="preserve">Pionowa integracja technologii akumulatorów z szeroką gamą akumulatorów do pojazdów elektrycznych – </w:t>
      </w:r>
      <w:proofErr w:type="spellStart"/>
      <w:r>
        <w:rPr>
          <w:rFonts w:ascii="Arial" w:eastAsia="Arial" w:hAnsi="Arial" w:cs="Arial"/>
          <w:spacing w:val="2"/>
          <w:sz w:val="22"/>
          <w:szCs w:val="22"/>
          <w:lang w:val="pl-PL"/>
        </w:rPr>
        <w:t>litowo</w:t>
      </w:r>
      <w:proofErr w:type="spellEnd"/>
      <w:r>
        <w:rPr>
          <w:rFonts w:ascii="Arial" w:eastAsia="Arial" w:hAnsi="Arial" w:cs="Arial"/>
          <w:spacing w:val="2"/>
          <w:sz w:val="22"/>
          <w:szCs w:val="22"/>
          <w:lang w:val="pl-PL"/>
        </w:rPr>
        <w:t xml:space="preserve">-jonowych </w:t>
      </w:r>
      <w:proofErr w:type="spellStart"/>
      <w:r>
        <w:rPr>
          <w:rFonts w:ascii="Arial" w:eastAsia="Arial" w:hAnsi="Arial" w:cs="Arial"/>
          <w:spacing w:val="2"/>
          <w:sz w:val="22"/>
          <w:szCs w:val="22"/>
          <w:lang w:val="pl-PL"/>
        </w:rPr>
        <w:t>IonBoost</w:t>
      </w:r>
      <w:proofErr w:type="spellEnd"/>
      <w:r>
        <w:rPr>
          <w:rFonts w:ascii="Arial" w:eastAsia="Arial" w:hAnsi="Arial" w:cs="Arial"/>
          <w:spacing w:val="2"/>
          <w:sz w:val="22"/>
          <w:szCs w:val="22"/>
          <w:lang w:val="pl-PL"/>
        </w:rPr>
        <w:t xml:space="preserve">, </w:t>
      </w:r>
      <w:proofErr w:type="spellStart"/>
      <w:r>
        <w:rPr>
          <w:rFonts w:ascii="Arial" w:eastAsia="Arial" w:hAnsi="Arial" w:cs="Arial"/>
          <w:spacing w:val="2"/>
          <w:sz w:val="22"/>
          <w:szCs w:val="22"/>
          <w:lang w:val="pl-PL"/>
        </w:rPr>
        <w:t>litowo</w:t>
      </w:r>
      <w:proofErr w:type="spellEnd"/>
      <w:r>
        <w:rPr>
          <w:rFonts w:ascii="Arial" w:eastAsia="Arial" w:hAnsi="Arial" w:cs="Arial"/>
          <w:spacing w:val="2"/>
          <w:sz w:val="22"/>
          <w:szCs w:val="22"/>
          <w:lang w:val="pl-PL"/>
        </w:rPr>
        <w:t xml:space="preserve">-żelazowo-fosforanowych </w:t>
      </w:r>
      <w:proofErr w:type="spellStart"/>
      <w:r>
        <w:rPr>
          <w:rFonts w:ascii="Arial" w:eastAsia="Arial" w:hAnsi="Arial" w:cs="Arial"/>
          <w:spacing w:val="2"/>
          <w:sz w:val="22"/>
          <w:szCs w:val="22"/>
          <w:lang w:val="pl-PL"/>
        </w:rPr>
        <w:t>IonBoost</w:t>
      </w:r>
      <w:proofErr w:type="spellEnd"/>
      <w:r>
        <w:rPr>
          <w:rFonts w:ascii="Arial" w:eastAsia="Arial" w:hAnsi="Arial" w:cs="Arial"/>
          <w:spacing w:val="2"/>
          <w:sz w:val="22"/>
          <w:szCs w:val="22"/>
          <w:lang w:val="pl-PL"/>
        </w:rPr>
        <w:t xml:space="preserve"> Pro do pojazdów użytkowych oraz </w:t>
      </w:r>
      <w:proofErr w:type="spellStart"/>
      <w:r>
        <w:rPr>
          <w:rFonts w:ascii="Arial" w:eastAsia="Arial" w:hAnsi="Arial" w:cs="Arial"/>
          <w:spacing w:val="2"/>
          <w:sz w:val="22"/>
          <w:szCs w:val="22"/>
          <w:lang w:val="pl-PL"/>
        </w:rPr>
        <w:t>niskokosztowych</w:t>
      </w:r>
      <w:proofErr w:type="spellEnd"/>
      <w:r>
        <w:rPr>
          <w:rFonts w:ascii="Arial" w:eastAsia="Arial" w:hAnsi="Arial" w:cs="Arial"/>
          <w:spacing w:val="2"/>
          <w:sz w:val="22"/>
          <w:szCs w:val="22"/>
          <w:lang w:val="pl-PL"/>
        </w:rPr>
        <w:t xml:space="preserve"> akumulatorów z elektrolitem w stanie stałym zapewniających duży zasięg, opartych na własnych pracach badawczo-rozwojowych Forda i know-how firmy Solid Power, w której firma posiada udziały kapitałowe oraz</w:t>
      </w:r>
      <w:r w:rsidR="00033F19">
        <w:rPr>
          <w:rFonts w:ascii="Arial" w:eastAsia="Arial" w:hAnsi="Arial" w:cs="Arial"/>
          <w:spacing w:val="2"/>
          <w:sz w:val="22"/>
          <w:szCs w:val="22"/>
          <w:lang w:val="pl-PL"/>
        </w:rPr>
        <w:t>,</w:t>
      </w:r>
    </w:p>
    <w:p w14:paraId="0579F17D" w14:textId="77777777" w:rsidR="00562A0F" w:rsidRDefault="00562A0F" w:rsidP="00562A0F">
      <w:pPr>
        <w:spacing w:before="6" w:line="110" w:lineRule="exact"/>
        <w:rPr>
          <w:sz w:val="11"/>
          <w:szCs w:val="11"/>
          <w:lang w:val="pl-PL"/>
        </w:rPr>
      </w:pPr>
    </w:p>
    <w:p w14:paraId="3231F60B" w14:textId="77777777" w:rsidR="00562A0F" w:rsidRPr="00005B97" w:rsidRDefault="00562A0F" w:rsidP="00562A0F">
      <w:pPr>
        <w:tabs>
          <w:tab w:val="left" w:pos="1180"/>
        </w:tabs>
        <w:spacing w:line="254" w:lineRule="exact"/>
        <w:ind w:left="879" w:right="57"/>
        <w:rPr>
          <w:lang w:val="pl-PL"/>
        </w:rPr>
      </w:pPr>
      <w:r>
        <w:rPr>
          <w:rFonts w:ascii="Courier New" w:eastAsia="Courier New" w:hAnsi="Courier New" w:cs="Courier New"/>
          <w:sz w:val="22"/>
          <w:szCs w:val="22"/>
          <w:lang w:val="pl-PL"/>
        </w:rPr>
        <w:t>o</w:t>
      </w:r>
      <w:r>
        <w:rPr>
          <w:rFonts w:ascii="Courier New" w:eastAsia="Courier New" w:hAnsi="Courier New" w:cs="Courier New"/>
          <w:sz w:val="22"/>
          <w:szCs w:val="22"/>
          <w:lang w:val="pl-PL"/>
        </w:rPr>
        <w:tab/>
      </w:r>
      <w:r>
        <w:rPr>
          <w:rFonts w:ascii="Arial" w:eastAsia="Arial" w:hAnsi="Arial" w:cs="Arial"/>
          <w:sz w:val="22"/>
          <w:szCs w:val="22"/>
          <w:lang w:val="pl-PL"/>
        </w:rPr>
        <w:t xml:space="preserve">Utworzenie spółki joint venture </w:t>
      </w:r>
      <w:proofErr w:type="spellStart"/>
      <w:r>
        <w:rPr>
          <w:rFonts w:ascii="Arial" w:eastAsia="Arial" w:hAnsi="Arial" w:cs="Arial"/>
          <w:sz w:val="22"/>
          <w:szCs w:val="22"/>
          <w:lang w:val="pl-PL"/>
        </w:rPr>
        <w:t>BlueOvalSK</w:t>
      </w:r>
      <w:proofErr w:type="spellEnd"/>
      <w:r>
        <w:rPr>
          <w:rFonts w:ascii="Arial" w:eastAsia="Arial" w:hAnsi="Arial" w:cs="Arial"/>
          <w:sz w:val="22"/>
          <w:szCs w:val="22"/>
          <w:lang w:val="pl-PL"/>
        </w:rPr>
        <w:t xml:space="preserve"> wraz z firmą SK </w:t>
      </w:r>
      <w:proofErr w:type="spellStart"/>
      <w:r>
        <w:rPr>
          <w:rFonts w:ascii="Arial" w:eastAsia="Arial" w:hAnsi="Arial" w:cs="Arial"/>
          <w:sz w:val="22"/>
          <w:szCs w:val="22"/>
          <w:lang w:val="pl-PL"/>
        </w:rPr>
        <w:t>Innovation</w:t>
      </w:r>
      <w:proofErr w:type="spellEnd"/>
      <w:r>
        <w:rPr>
          <w:rFonts w:ascii="Arial" w:eastAsia="Arial" w:hAnsi="Arial" w:cs="Arial"/>
          <w:sz w:val="22"/>
          <w:szCs w:val="22"/>
          <w:lang w:val="pl-PL"/>
        </w:rPr>
        <w:t>, która w dwóch fabrykach w USA będzie produkowała ogniwa i ich zestawy do akumulatorów dla przyszłych pojazdów Forda i Lincolna.</w:t>
      </w:r>
    </w:p>
    <w:p w14:paraId="41B8CF39" w14:textId="77777777" w:rsidR="00562A0F" w:rsidRDefault="00562A0F" w:rsidP="00562A0F">
      <w:pPr>
        <w:spacing w:before="12" w:line="240" w:lineRule="exact"/>
        <w:rPr>
          <w:sz w:val="24"/>
          <w:lang w:val="pl-PL"/>
        </w:rPr>
      </w:pPr>
    </w:p>
    <w:p w14:paraId="1CC90F38" w14:textId="6ACF3095" w:rsidR="00562A0F" w:rsidRPr="00033F19" w:rsidRDefault="00562A0F" w:rsidP="00033F19">
      <w:pPr>
        <w:ind w:left="100"/>
        <w:rPr>
          <w:lang w:val="pl-PL"/>
        </w:rPr>
      </w:pPr>
      <w:r>
        <w:rPr>
          <w:rFonts w:ascii="Arial" w:eastAsia="Arial" w:hAnsi="Arial" w:cs="Arial"/>
          <w:sz w:val="22"/>
          <w:szCs w:val="22"/>
          <w:u w:val="single" w:color="000000"/>
          <w:lang w:val="pl-PL"/>
        </w:rPr>
        <w:t>Rozwój działalności dedykowanej klientom biznesowym</w:t>
      </w:r>
    </w:p>
    <w:p w14:paraId="6859A93D" w14:textId="0762D94B" w:rsidR="00562A0F" w:rsidRPr="00033F19" w:rsidRDefault="00562A0F" w:rsidP="00033F19">
      <w:pPr>
        <w:pStyle w:val="ListParagraph"/>
        <w:numPr>
          <w:ilvl w:val="0"/>
          <w:numId w:val="39"/>
        </w:numPr>
        <w:tabs>
          <w:tab w:val="left" w:pos="460"/>
        </w:tabs>
        <w:ind w:left="426" w:right="541"/>
        <w:rPr>
          <w:lang w:val="pl-PL"/>
        </w:rPr>
      </w:pPr>
      <w:r w:rsidRPr="00033F19">
        <w:rPr>
          <w:rFonts w:ascii="Arial" w:eastAsia="Arial" w:hAnsi="Arial" w:cs="Arial"/>
          <w:spacing w:val="2"/>
          <w:sz w:val="22"/>
          <w:szCs w:val="22"/>
          <w:lang w:val="pl-PL"/>
        </w:rPr>
        <w:t xml:space="preserve">Utworzenie Ford Pro, globalnego działu usług i dystrybucji pojazdów Forda, zajmującego się obsługą klientów biznesowych i rządowych, kierowanego przez Teda </w:t>
      </w:r>
      <w:proofErr w:type="spellStart"/>
      <w:r w:rsidRPr="00033F19">
        <w:rPr>
          <w:rFonts w:ascii="Arial" w:eastAsia="Arial" w:hAnsi="Arial" w:cs="Arial"/>
          <w:spacing w:val="2"/>
          <w:sz w:val="22"/>
          <w:szCs w:val="22"/>
          <w:lang w:val="pl-PL"/>
        </w:rPr>
        <w:t>Cannisa</w:t>
      </w:r>
      <w:proofErr w:type="spellEnd"/>
      <w:r w:rsidRPr="00033F19">
        <w:rPr>
          <w:rFonts w:ascii="Arial" w:eastAsia="Arial" w:hAnsi="Arial" w:cs="Arial"/>
          <w:spacing w:val="2"/>
          <w:sz w:val="22"/>
          <w:szCs w:val="22"/>
          <w:lang w:val="pl-PL"/>
        </w:rPr>
        <w:t>, który został mianowany dyrektorem generalnym i członkiem zarządu firmy.</w:t>
      </w:r>
    </w:p>
    <w:p w14:paraId="52BE7774" w14:textId="77777777" w:rsidR="00562A0F" w:rsidRDefault="00562A0F" w:rsidP="00562A0F">
      <w:pPr>
        <w:spacing w:before="6" w:line="110" w:lineRule="exact"/>
        <w:rPr>
          <w:sz w:val="11"/>
          <w:szCs w:val="11"/>
          <w:lang w:val="pl-PL"/>
        </w:rPr>
      </w:pPr>
    </w:p>
    <w:p w14:paraId="6FF9855D" w14:textId="77777777" w:rsidR="00562A0F" w:rsidRPr="00005B97" w:rsidRDefault="00562A0F" w:rsidP="00562A0F">
      <w:pPr>
        <w:tabs>
          <w:tab w:val="left" w:pos="1180"/>
        </w:tabs>
        <w:spacing w:line="254" w:lineRule="exact"/>
        <w:ind w:left="822" w:right="964"/>
        <w:rPr>
          <w:lang w:val="pl-PL"/>
        </w:rPr>
      </w:pPr>
      <w:r>
        <w:rPr>
          <w:rFonts w:ascii="Courier New" w:eastAsia="Courier New" w:hAnsi="Courier New" w:cs="Courier New"/>
          <w:sz w:val="22"/>
          <w:szCs w:val="22"/>
          <w:lang w:val="pl-PL"/>
        </w:rPr>
        <w:t>o</w:t>
      </w:r>
      <w:r>
        <w:rPr>
          <w:rFonts w:ascii="Courier New" w:eastAsia="Courier New" w:hAnsi="Courier New" w:cs="Courier New"/>
          <w:sz w:val="22"/>
          <w:szCs w:val="22"/>
          <w:lang w:val="pl-PL"/>
        </w:rPr>
        <w:tab/>
      </w:r>
      <w:proofErr w:type="spellStart"/>
      <w:r>
        <w:rPr>
          <w:rFonts w:ascii="Arial" w:eastAsia="Arial" w:hAnsi="Arial" w:cs="Arial"/>
          <w:sz w:val="22"/>
          <w:szCs w:val="22"/>
          <w:lang w:val="pl-PL"/>
        </w:rPr>
        <w:t>Cannis</w:t>
      </w:r>
      <w:proofErr w:type="spellEnd"/>
      <w:r>
        <w:rPr>
          <w:rFonts w:ascii="Arial" w:eastAsia="Arial" w:hAnsi="Arial" w:cs="Arial"/>
          <w:sz w:val="22"/>
          <w:szCs w:val="22"/>
          <w:lang w:val="pl-PL"/>
        </w:rPr>
        <w:t xml:space="preserve"> był szefem działu samochodów użytkowych Forda w Ameryce Północnej, a wcześniej kierował grupą rozwojową samochodów elektrycznych Team Edison.</w:t>
      </w:r>
    </w:p>
    <w:p w14:paraId="527E3406" w14:textId="77777777" w:rsidR="00562A0F" w:rsidRDefault="00562A0F" w:rsidP="00562A0F">
      <w:pPr>
        <w:tabs>
          <w:tab w:val="left" w:pos="1180"/>
        </w:tabs>
        <w:spacing w:line="254" w:lineRule="exact"/>
        <w:ind w:left="822" w:right="964"/>
        <w:rPr>
          <w:rFonts w:ascii="Arial" w:eastAsia="Arial" w:hAnsi="Arial" w:cs="Arial"/>
          <w:lang w:val="pl-PL"/>
        </w:rPr>
      </w:pPr>
    </w:p>
    <w:p w14:paraId="39238D2D" w14:textId="4EEFAEF7" w:rsidR="00562A0F" w:rsidRPr="00033F19" w:rsidRDefault="00562A0F" w:rsidP="00033F19">
      <w:pPr>
        <w:pStyle w:val="ListParagraph"/>
        <w:numPr>
          <w:ilvl w:val="0"/>
          <w:numId w:val="39"/>
        </w:numPr>
        <w:tabs>
          <w:tab w:val="left" w:pos="480"/>
        </w:tabs>
        <w:ind w:left="426"/>
        <w:rPr>
          <w:lang w:val="pl-PL"/>
        </w:rPr>
      </w:pPr>
      <w:r w:rsidRPr="00033F19">
        <w:rPr>
          <w:rFonts w:ascii="Arial" w:eastAsia="Arial" w:hAnsi="Arial" w:cs="Arial"/>
          <w:spacing w:val="2"/>
          <w:sz w:val="22"/>
          <w:szCs w:val="22"/>
          <w:lang w:val="pl-PL"/>
        </w:rPr>
        <w:t>Zapewnianie klientom większej wartości i wyższej produktywności poprzez:</w:t>
      </w:r>
    </w:p>
    <w:p w14:paraId="23EBC93F" w14:textId="77777777" w:rsidR="00562A0F" w:rsidRPr="00005B97" w:rsidRDefault="00562A0F" w:rsidP="00033F19">
      <w:pPr>
        <w:tabs>
          <w:tab w:val="left" w:pos="1200"/>
        </w:tabs>
        <w:ind w:left="822" w:right="765"/>
        <w:rPr>
          <w:lang w:val="pl-PL"/>
        </w:rPr>
      </w:pPr>
      <w:r>
        <w:rPr>
          <w:rFonts w:ascii="Courier New" w:eastAsia="Courier New" w:hAnsi="Courier New" w:cs="Courier New"/>
          <w:sz w:val="22"/>
          <w:szCs w:val="22"/>
          <w:lang w:val="pl-PL"/>
        </w:rPr>
        <w:t>o</w:t>
      </w:r>
      <w:r>
        <w:rPr>
          <w:rFonts w:ascii="Courier New" w:eastAsia="Courier New" w:hAnsi="Courier New" w:cs="Courier New"/>
          <w:sz w:val="22"/>
          <w:szCs w:val="22"/>
          <w:lang w:val="pl-PL"/>
        </w:rPr>
        <w:tab/>
      </w:r>
      <w:r>
        <w:rPr>
          <w:rFonts w:ascii="Arial" w:eastAsia="Arial" w:hAnsi="Arial" w:cs="Arial"/>
          <w:sz w:val="22"/>
          <w:szCs w:val="22"/>
          <w:lang w:val="pl-PL"/>
        </w:rPr>
        <w:t>Stworzenie najbardziej wszechstronnej i elastycznej w branży gamy pojazdów użytkowych z napędem elektrycznym i spalinowym</w:t>
      </w:r>
    </w:p>
    <w:p w14:paraId="27943DD2" w14:textId="77777777" w:rsidR="00562A0F" w:rsidRPr="00005B97" w:rsidRDefault="00562A0F" w:rsidP="00033F19">
      <w:pPr>
        <w:tabs>
          <w:tab w:val="left" w:pos="1200"/>
        </w:tabs>
        <w:ind w:left="822" w:right="765"/>
        <w:rPr>
          <w:lang w:val="pl-PL"/>
        </w:rPr>
      </w:pPr>
      <w:r>
        <w:rPr>
          <w:rFonts w:ascii="Courier New" w:eastAsia="Courier New" w:hAnsi="Courier New" w:cs="Courier New"/>
          <w:sz w:val="22"/>
          <w:szCs w:val="22"/>
          <w:lang w:val="pl-PL"/>
        </w:rPr>
        <w:t>o</w:t>
      </w:r>
      <w:r>
        <w:rPr>
          <w:rFonts w:ascii="Courier New" w:eastAsia="Courier New" w:hAnsi="Courier New" w:cs="Courier New"/>
          <w:sz w:val="22"/>
          <w:szCs w:val="22"/>
          <w:lang w:val="pl-PL"/>
        </w:rPr>
        <w:tab/>
      </w:r>
      <w:r>
        <w:rPr>
          <w:rFonts w:ascii="Arial" w:eastAsia="Arial" w:hAnsi="Arial" w:cs="Arial"/>
          <w:sz w:val="22"/>
          <w:szCs w:val="22"/>
          <w:lang w:val="pl-PL"/>
        </w:rPr>
        <w:t>Zaoferowanie usług cyfrowych i tradycyjnych (fizycznych), które mogą pomóc w optymalizacji działania i utrzymania flot samochodowych klientów Forda</w:t>
      </w:r>
    </w:p>
    <w:p w14:paraId="7D146326" w14:textId="77777777" w:rsidR="00562A0F" w:rsidRPr="00005B97" w:rsidRDefault="00562A0F" w:rsidP="00562A0F">
      <w:pPr>
        <w:tabs>
          <w:tab w:val="left" w:pos="1200"/>
        </w:tabs>
        <w:spacing w:after="57"/>
        <w:ind w:left="822" w:right="765"/>
        <w:rPr>
          <w:lang w:val="pl-PL"/>
        </w:rPr>
      </w:pPr>
      <w:r>
        <w:rPr>
          <w:rFonts w:ascii="Courier New" w:eastAsia="Courier New" w:hAnsi="Courier New" w:cs="Courier New"/>
          <w:sz w:val="22"/>
          <w:szCs w:val="22"/>
          <w:lang w:val="pl-PL"/>
        </w:rPr>
        <w:t>o</w:t>
      </w:r>
      <w:r>
        <w:rPr>
          <w:rFonts w:ascii="Courier New" w:eastAsia="Courier New" w:hAnsi="Courier New" w:cs="Courier New"/>
          <w:sz w:val="22"/>
          <w:szCs w:val="22"/>
          <w:lang w:val="pl-PL"/>
        </w:rPr>
        <w:tab/>
      </w:r>
      <w:r>
        <w:rPr>
          <w:rFonts w:ascii="Arial" w:eastAsia="Arial" w:hAnsi="Arial" w:cs="Arial"/>
          <w:spacing w:val="2"/>
          <w:sz w:val="22"/>
          <w:szCs w:val="22"/>
          <w:lang w:val="pl-PL"/>
        </w:rPr>
        <w:t>Zapewnienie rozwiązań publicznego, firmowego i domowego ładowania pojazdów elektrycznych przez pracowników w celu przygotowania ich do następnego dnia pracy, oraz</w:t>
      </w:r>
    </w:p>
    <w:p w14:paraId="122C9C0C" w14:textId="77777777" w:rsidR="00562A0F" w:rsidRPr="00005B97" w:rsidRDefault="00562A0F" w:rsidP="00562A0F">
      <w:pPr>
        <w:tabs>
          <w:tab w:val="left" w:pos="1200"/>
        </w:tabs>
        <w:spacing w:after="57"/>
        <w:ind w:left="822" w:right="765"/>
        <w:rPr>
          <w:lang w:val="pl-PL"/>
        </w:rPr>
      </w:pPr>
      <w:r>
        <w:rPr>
          <w:rFonts w:ascii="Courier New" w:eastAsia="Courier New" w:hAnsi="Courier New" w:cs="Courier New"/>
          <w:sz w:val="22"/>
          <w:szCs w:val="22"/>
          <w:lang w:val="pl-PL"/>
        </w:rPr>
        <w:t>o</w:t>
      </w:r>
      <w:r>
        <w:rPr>
          <w:rFonts w:ascii="Courier New" w:eastAsia="Courier New" w:hAnsi="Courier New" w:cs="Courier New"/>
          <w:sz w:val="22"/>
          <w:szCs w:val="22"/>
          <w:lang w:val="pl-PL"/>
        </w:rPr>
        <w:tab/>
      </w:r>
      <w:r>
        <w:rPr>
          <w:rFonts w:ascii="Arial" w:eastAsia="Arial" w:hAnsi="Arial" w:cs="Arial"/>
          <w:spacing w:val="2"/>
          <w:sz w:val="22"/>
          <w:szCs w:val="22"/>
          <w:lang w:val="pl-PL"/>
        </w:rPr>
        <w:t>Łączone finansowanie pojazdów, usług i ładowania.</w:t>
      </w:r>
    </w:p>
    <w:p w14:paraId="546B39EC" w14:textId="77777777" w:rsidR="00562A0F" w:rsidRDefault="00562A0F" w:rsidP="00562A0F">
      <w:pPr>
        <w:spacing w:before="5" w:line="110" w:lineRule="exact"/>
        <w:rPr>
          <w:sz w:val="11"/>
          <w:szCs w:val="11"/>
          <w:lang w:val="pl-PL"/>
        </w:rPr>
      </w:pPr>
    </w:p>
    <w:p w14:paraId="3099EA1A" w14:textId="3E86BCF0" w:rsidR="00562A0F" w:rsidRPr="00033F19" w:rsidRDefault="00562A0F" w:rsidP="00033F19">
      <w:pPr>
        <w:pStyle w:val="ListParagraph"/>
        <w:numPr>
          <w:ilvl w:val="0"/>
          <w:numId w:val="42"/>
        </w:numPr>
        <w:tabs>
          <w:tab w:val="left" w:pos="480"/>
        </w:tabs>
        <w:spacing w:line="254" w:lineRule="exact"/>
        <w:ind w:left="426" w:right="451"/>
        <w:rPr>
          <w:lang w:val="pl-PL"/>
        </w:rPr>
      </w:pPr>
      <w:r w:rsidRPr="00033F19">
        <w:rPr>
          <w:rFonts w:ascii="Arial" w:eastAsia="Arial" w:hAnsi="Arial" w:cs="Arial"/>
          <w:sz w:val="22"/>
          <w:szCs w:val="22"/>
          <w:lang w:val="pl-PL"/>
        </w:rPr>
        <w:t xml:space="preserve">Zwiększenie obrotów na rynku samochodów użytkowych, urządzeń wspomagających oraz nowych usług, które są w zasięgu Forda, z przewidywanymi przychodami na poziomie 45 miliardów USD do 2025 roku, przy </w:t>
      </w:r>
      <w:r w:rsidRPr="00033F19">
        <w:rPr>
          <w:rFonts w:ascii="Arial" w:eastAsia="Arial" w:hAnsi="Arial" w:cs="Arial"/>
          <w:spacing w:val="2"/>
          <w:sz w:val="22"/>
          <w:szCs w:val="22"/>
          <w:lang w:val="pl-PL"/>
        </w:rPr>
        <w:t>27 miliardach USD w 2019 roku.</w:t>
      </w:r>
    </w:p>
    <w:p w14:paraId="1BB6B958" w14:textId="77777777" w:rsidR="00562A0F" w:rsidRDefault="00562A0F" w:rsidP="00562A0F">
      <w:pPr>
        <w:spacing w:before="11" w:line="240" w:lineRule="exact"/>
        <w:rPr>
          <w:sz w:val="24"/>
          <w:lang w:val="pl-PL"/>
        </w:rPr>
      </w:pPr>
    </w:p>
    <w:p w14:paraId="7E545BC7" w14:textId="671D8C3C" w:rsidR="00562A0F" w:rsidRPr="00033F19" w:rsidRDefault="00562A0F" w:rsidP="00033F19">
      <w:pPr>
        <w:ind w:left="119"/>
        <w:rPr>
          <w:lang w:val="pl-PL"/>
        </w:rPr>
      </w:pPr>
      <w:r>
        <w:rPr>
          <w:rFonts w:ascii="Arial" w:eastAsia="Arial" w:hAnsi="Arial" w:cs="Arial"/>
          <w:sz w:val="22"/>
          <w:szCs w:val="22"/>
          <w:u w:val="single" w:color="000000"/>
          <w:lang w:val="pl-PL"/>
        </w:rPr>
        <w:t>Łączność z klientami przy wsparciu oferowanych usług</w:t>
      </w:r>
    </w:p>
    <w:p w14:paraId="2F534D55" w14:textId="4F4668EF" w:rsidR="00562A0F" w:rsidRPr="004C6AB4" w:rsidRDefault="00562A0F" w:rsidP="004C6AB4">
      <w:pPr>
        <w:pStyle w:val="ListParagraph"/>
        <w:numPr>
          <w:ilvl w:val="0"/>
          <w:numId w:val="42"/>
        </w:numPr>
        <w:tabs>
          <w:tab w:val="left" w:pos="480"/>
        </w:tabs>
        <w:ind w:left="426" w:right="94"/>
        <w:rPr>
          <w:lang w:val="pl-PL"/>
        </w:rPr>
      </w:pPr>
      <w:r w:rsidRPr="00033F19">
        <w:rPr>
          <w:rFonts w:ascii="Arial" w:eastAsia="Arial" w:hAnsi="Arial" w:cs="Arial"/>
          <w:sz w:val="22"/>
          <w:szCs w:val="22"/>
          <w:lang w:val="pl-PL"/>
        </w:rPr>
        <w:t xml:space="preserve">Zwiększenie do około 1 miliona eksploatowanych pojazdów zdolnych do otrzymywania zdalnych aktualizacji systemu do końca tego roku, wyprzedzenie w tej dziedzinie Tesli do lipca 2022 roku i zwiększenie tej liczby do </w:t>
      </w:r>
      <w:bookmarkStart w:id="2" w:name="_GoBack"/>
      <w:bookmarkEnd w:id="2"/>
      <w:r w:rsidRPr="004C6AB4">
        <w:rPr>
          <w:rFonts w:ascii="Arial" w:eastAsia="Arial" w:hAnsi="Arial" w:cs="Arial"/>
          <w:spacing w:val="2"/>
          <w:sz w:val="22"/>
          <w:szCs w:val="22"/>
          <w:lang w:val="pl-PL"/>
        </w:rPr>
        <w:t>33 milionów Fordów i Lincolnów z obsługą zdalną (OTA) do 2028 roku.</w:t>
      </w:r>
    </w:p>
    <w:p w14:paraId="29CA8D3F" w14:textId="77777777" w:rsidR="00562A0F" w:rsidRDefault="00562A0F" w:rsidP="00562A0F">
      <w:pPr>
        <w:spacing w:before="9" w:line="130" w:lineRule="exact"/>
        <w:rPr>
          <w:sz w:val="13"/>
          <w:szCs w:val="13"/>
          <w:lang w:val="pl-PL"/>
        </w:rPr>
      </w:pPr>
    </w:p>
    <w:p w14:paraId="5A997BC8" w14:textId="4D809276" w:rsidR="00562A0F" w:rsidRPr="00033F19" w:rsidRDefault="00562A0F" w:rsidP="00033F19">
      <w:pPr>
        <w:pStyle w:val="ListParagraph"/>
        <w:numPr>
          <w:ilvl w:val="0"/>
          <w:numId w:val="42"/>
        </w:numPr>
        <w:tabs>
          <w:tab w:val="left" w:pos="480"/>
        </w:tabs>
        <w:spacing w:line="254" w:lineRule="exact"/>
        <w:ind w:left="426" w:right="122"/>
        <w:jc w:val="both"/>
        <w:rPr>
          <w:lang w:val="pl-PL"/>
        </w:rPr>
      </w:pPr>
      <w:r w:rsidRPr="00033F19">
        <w:rPr>
          <w:rFonts w:ascii="Arial" w:eastAsia="Arial" w:hAnsi="Arial" w:cs="Arial"/>
          <w:spacing w:val="2"/>
          <w:sz w:val="22"/>
          <w:szCs w:val="22"/>
          <w:lang w:val="pl-PL"/>
        </w:rPr>
        <w:t xml:space="preserve">Wzmacnianie relacji z klientami dzięki narzędziom cyfrowym, takim jak Ford Pass i Lincoln </w:t>
      </w:r>
      <w:proofErr w:type="spellStart"/>
      <w:r w:rsidRPr="00033F19">
        <w:rPr>
          <w:rFonts w:ascii="Arial" w:eastAsia="Arial" w:hAnsi="Arial" w:cs="Arial"/>
          <w:spacing w:val="2"/>
          <w:sz w:val="22"/>
          <w:szCs w:val="22"/>
          <w:lang w:val="pl-PL"/>
        </w:rPr>
        <w:t>Way</w:t>
      </w:r>
      <w:proofErr w:type="spellEnd"/>
      <w:r w:rsidRPr="00033F19">
        <w:rPr>
          <w:rFonts w:ascii="Arial" w:eastAsia="Arial" w:hAnsi="Arial" w:cs="Arial"/>
          <w:spacing w:val="2"/>
          <w:sz w:val="22"/>
          <w:szCs w:val="22"/>
          <w:lang w:val="pl-PL"/>
        </w:rPr>
        <w:t>, zamawianie online, uproszczone opcje finansowania i odnawiania umów, odbieranie od klientów i dostarczanie pojazdów oraz naprawy mobilne.</w:t>
      </w:r>
    </w:p>
    <w:p w14:paraId="4D2E95F3" w14:textId="77777777" w:rsidR="00562A0F" w:rsidRDefault="00562A0F" w:rsidP="00562A0F">
      <w:pPr>
        <w:spacing w:line="130" w:lineRule="exact"/>
        <w:rPr>
          <w:sz w:val="13"/>
          <w:szCs w:val="13"/>
          <w:lang w:val="pl-PL"/>
        </w:rPr>
      </w:pPr>
    </w:p>
    <w:p w14:paraId="0F3B7382" w14:textId="35768146" w:rsidR="00562A0F" w:rsidRPr="00033F19" w:rsidRDefault="00562A0F" w:rsidP="00033F19">
      <w:pPr>
        <w:pStyle w:val="ListParagraph"/>
        <w:numPr>
          <w:ilvl w:val="0"/>
          <w:numId w:val="42"/>
        </w:numPr>
        <w:tabs>
          <w:tab w:val="left" w:pos="480"/>
        </w:tabs>
        <w:spacing w:line="254" w:lineRule="exact"/>
        <w:ind w:left="426" w:right="530"/>
        <w:rPr>
          <w:lang w:val="pl-PL"/>
        </w:rPr>
      </w:pPr>
      <w:r w:rsidRPr="00033F19">
        <w:rPr>
          <w:rFonts w:ascii="Arial" w:eastAsia="Arial" w:hAnsi="Arial" w:cs="Arial"/>
          <w:spacing w:val="2"/>
          <w:sz w:val="22"/>
          <w:szCs w:val="22"/>
          <w:lang w:val="pl-PL"/>
        </w:rPr>
        <w:t>Rozszerzenie cyfrowego stylu życia poprzez pełną integrację najlepszych w swojej klasie technologii, pochodzących między innymi z firm Apple, Amazon, Google i Baidu.</w:t>
      </w:r>
    </w:p>
    <w:p w14:paraId="76CAE8BD" w14:textId="77777777" w:rsidR="00562A0F" w:rsidRDefault="00562A0F" w:rsidP="00562A0F">
      <w:pPr>
        <w:spacing w:before="5" w:line="130" w:lineRule="exact"/>
        <w:rPr>
          <w:sz w:val="13"/>
          <w:szCs w:val="13"/>
          <w:lang w:val="pl-PL"/>
        </w:rPr>
      </w:pPr>
    </w:p>
    <w:p w14:paraId="614F826F" w14:textId="673B86B5" w:rsidR="00562A0F" w:rsidRPr="00033F19" w:rsidRDefault="00562A0F" w:rsidP="00033F19">
      <w:pPr>
        <w:pStyle w:val="ListParagraph"/>
        <w:numPr>
          <w:ilvl w:val="0"/>
          <w:numId w:val="42"/>
        </w:numPr>
        <w:tabs>
          <w:tab w:val="left" w:pos="480"/>
        </w:tabs>
        <w:spacing w:line="254" w:lineRule="exact"/>
        <w:ind w:left="426" w:right="195"/>
        <w:rPr>
          <w:lang w:val="pl-PL"/>
        </w:rPr>
      </w:pPr>
      <w:r w:rsidRPr="00033F19">
        <w:rPr>
          <w:rFonts w:ascii="Arial" w:eastAsia="Arial" w:hAnsi="Arial" w:cs="Arial"/>
          <w:spacing w:val="2"/>
          <w:sz w:val="22"/>
          <w:szCs w:val="22"/>
          <w:lang w:val="pl-PL"/>
        </w:rPr>
        <w:t>Szybsze wykrywanie i rozwiązywanie problemów jakościowych przy użyciu danych z systemów łączności, co pomoże w zwiększeniu zadowolenia klientów i obniżeniu kosztów gwarancji.</w:t>
      </w:r>
    </w:p>
    <w:p w14:paraId="424BCC31" w14:textId="77777777" w:rsidR="00562A0F" w:rsidRDefault="00562A0F" w:rsidP="00562A0F">
      <w:pPr>
        <w:spacing w:before="2" w:line="130" w:lineRule="exact"/>
        <w:rPr>
          <w:sz w:val="13"/>
          <w:szCs w:val="13"/>
          <w:lang w:val="pl-PL"/>
        </w:rPr>
      </w:pPr>
    </w:p>
    <w:p w14:paraId="70E554E8" w14:textId="2C1981C9" w:rsidR="00562A0F" w:rsidRPr="00033F19" w:rsidRDefault="00562A0F" w:rsidP="00033F19">
      <w:pPr>
        <w:pStyle w:val="ListParagraph"/>
        <w:numPr>
          <w:ilvl w:val="0"/>
          <w:numId w:val="42"/>
        </w:numPr>
        <w:tabs>
          <w:tab w:val="left" w:pos="480"/>
        </w:tabs>
        <w:spacing w:line="232" w:lineRule="auto"/>
        <w:ind w:left="426" w:right="121"/>
        <w:rPr>
          <w:lang w:val="pl-PL"/>
        </w:rPr>
      </w:pPr>
      <w:r w:rsidRPr="00033F19">
        <w:rPr>
          <w:rFonts w:ascii="Arial" w:eastAsia="Arial" w:hAnsi="Arial" w:cs="Arial"/>
          <w:sz w:val="22"/>
          <w:szCs w:val="22"/>
          <w:lang w:val="pl-PL"/>
        </w:rPr>
        <w:t xml:space="preserve">Wdrażanie unikatowych funkcji łączności, takich jak </w:t>
      </w:r>
      <w:proofErr w:type="spellStart"/>
      <w:r w:rsidRPr="00033F19">
        <w:rPr>
          <w:rFonts w:ascii="Arial" w:eastAsia="Arial" w:hAnsi="Arial" w:cs="Arial"/>
          <w:sz w:val="22"/>
          <w:szCs w:val="22"/>
          <w:lang w:val="pl-PL"/>
        </w:rPr>
        <w:t>BlueCruise</w:t>
      </w:r>
      <w:proofErr w:type="spellEnd"/>
      <w:r w:rsidRPr="00033F19">
        <w:rPr>
          <w:rFonts w:ascii="Arial" w:eastAsia="Arial" w:hAnsi="Arial" w:cs="Arial"/>
          <w:sz w:val="22"/>
          <w:szCs w:val="22"/>
          <w:lang w:val="pl-PL"/>
        </w:rPr>
        <w:t xml:space="preserve"> Forda, nowe funkcje i unowocześnione oprogramowanie oraz ładowanie pojazdów elektrycznych, których celem jest poprawa komfortu użytkowania i uzyskanie prognozowanego rynku takich usług o wartości 20 miliardów dolarów do roku 2030.</w:t>
      </w:r>
    </w:p>
    <w:p w14:paraId="28F731B5" w14:textId="77777777" w:rsidR="00562A0F" w:rsidRDefault="00562A0F" w:rsidP="00562A0F">
      <w:pPr>
        <w:spacing w:before="3"/>
        <w:rPr>
          <w:rFonts w:ascii="Arial" w:eastAsia="Arial" w:hAnsi="Arial" w:cs="Arial"/>
          <w:lang w:val="pl-PL"/>
        </w:rPr>
      </w:pPr>
    </w:p>
    <w:p w14:paraId="2E3AB61C" w14:textId="77777777" w:rsidR="00562A0F" w:rsidRDefault="00562A0F" w:rsidP="00562A0F">
      <w:pPr>
        <w:pStyle w:val="Tretekstu"/>
        <w:ind w:left="22"/>
        <w:jc w:val="center"/>
        <w:rPr>
          <w:lang w:val="pl-PL"/>
        </w:rPr>
      </w:pPr>
      <w:r>
        <w:rPr>
          <w:lang w:val="pl-PL"/>
        </w:rPr>
        <w:t>#</w:t>
      </w:r>
      <w:r>
        <w:rPr>
          <w:spacing w:val="3"/>
          <w:lang w:val="pl-PL"/>
        </w:rPr>
        <w:t xml:space="preserve"> </w:t>
      </w:r>
      <w:r>
        <w:rPr>
          <w:lang w:val="pl-PL"/>
        </w:rPr>
        <w:t># #</w:t>
      </w:r>
    </w:p>
    <w:p w14:paraId="1D692358" w14:textId="77777777" w:rsidR="00562A0F" w:rsidRDefault="00562A0F" w:rsidP="00562A0F">
      <w:pPr>
        <w:spacing w:before="5"/>
        <w:rPr>
          <w:rFonts w:ascii="Arial" w:eastAsia="Arial" w:hAnsi="Arial" w:cs="Arial"/>
          <w:sz w:val="21"/>
          <w:szCs w:val="21"/>
          <w:lang w:val="pl-PL"/>
        </w:rPr>
      </w:pPr>
    </w:p>
    <w:p w14:paraId="657DB245" w14:textId="77777777" w:rsidR="00562A0F" w:rsidRDefault="00562A0F" w:rsidP="00562A0F">
      <w:pPr>
        <w:ind w:left="120" w:right="391"/>
        <w:rPr>
          <w:rFonts w:ascii="Arial" w:eastAsia="Arial" w:hAnsi="Arial" w:cs="Arial"/>
          <w:szCs w:val="20"/>
          <w:lang w:val="pl-PL"/>
        </w:rPr>
      </w:pPr>
      <w:r>
        <w:rPr>
          <w:rFonts w:ascii="Arial" w:eastAsia="Arial" w:hAnsi="Arial" w:cs="Arial"/>
          <w:position w:val="7"/>
          <w:sz w:val="13"/>
          <w:szCs w:val="13"/>
          <w:lang w:val="pl-PL"/>
        </w:rPr>
        <w:t>1</w:t>
      </w:r>
      <w:r>
        <w:rPr>
          <w:rFonts w:ascii="Arial" w:eastAsia="Arial" w:hAnsi="Arial" w:cs="Arial"/>
          <w:szCs w:val="20"/>
          <w:lang w:val="pl-PL"/>
        </w:rPr>
        <w:t xml:space="preserve">Ford przedstawia prognozy dotyczące skorygowanej marży EBIT, ale nie podaje przewidywań najbardziej porównywalnej wielkości GAAP, ponieważ, jak opisano szczegółowo w " Non-GAAP Financial </w:t>
      </w:r>
      <w:proofErr w:type="spellStart"/>
      <w:r>
        <w:rPr>
          <w:rFonts w:ascii="Arial" w:eastAsia="Arial" w:hAnsi="Arial" w:cs="Arial"/>
          <w:szCs w:val="20"/>
          <w:lang w:val="pl-PL"/>
        </w:rPr>
        <w:t>Measures</w:t>
      </w:r>
      <w:proofErr w:type="spellEnd"/>
      <w:r>
        <w:rPr>
          <w:rFonts w:ascii="Arial" w:eastAsia="Arial" w:hAnsi="Arial" w:cs="Arial"/>
          <w:spacing w:val="95"/>
          <w:szCs w:val="20"/>
          <w:lang w:val="pl-PL"/>
        </w:rPr>
        <w:t xml:space="preserve"> </w:t>
      </w:r>
      <w:proofErr w:type="spellStart"/>
      <w:r>
        <w:rPr>
          <w:rFonts w:ascii="Arial" w:eastAsia="Arial" w:hAnsi="Arial" w:cs="Arial"/>
          <w:szCs w:val="20"/>
          <w:lang w:val="pl-PL"/>
        </w:rPr>
        <w:t>That</w:t>
      </w:r>
      <w:proofErr w:type="spellEnd"/>
      <w:r>
        <w:rPr>
          <w:rFonts w:ascii="Arial" w:eastAsia="Arial" w:hAnsi="Arial" w:cs="Arial"/>
          <w:spacing w:val="3"/>
          <w:szCs w:val="20"/>
          <w:lang w:val="pl-PL"/>
        </w:rPr>
        <w:t xml:space="preserve"> </w:t>
      </w:r>
      <w:proofErr w:type="spellStart"/>
      <w:r>
        <w:rPr>
          <w:rFonts w:ascii="Arial" w:eastAsia="Arial" w:hAnsi="Arial" w:cs="Arial"/>
          <w:szCs w:val="20"/>
          <w:lang w:val="pl-PL"/>
        </w:rPr>
        <w:t>Supplement</w:t>
      </w:r>
      <w:proofErr w:type="spellEnd"/>
      <w:r>
        <w:rPr>
          <w:rFonts w:ascii="Arial" w:eastAsia="Arial" w:hAnsi="Arial" w:cs="Arial"/>
          <w:szCs w:val="20"/>
          <w:lang w:val="pl-PL"/>
        </w:rPr>
        <w:t xml:space="preserve"> GAAP </w:t>
      </w:r>
      <w:proofErr w:type="spellStart"/>
      <w:r>
        <w:rPr>
          <w:rFonts w:ascii="Arial" w:eastAsia="Arial" w:hAnsi="Arial" w:cs="Arial"/>
          <w:szCs w:val="20"/>
          <w:lang w:val="pl-PL"/>
        </w:rPr>
        <w:t>Measures</w:t>
      </w:r>
      <w:proofErr w:type="spellEnd"/>
      <w:r>
        <w:rPr>
          <w:rFonts w:ascii="Arial" w:eastAsia="Arial" w:hAnsi="Arial" w:cs="Arial"/>
          <w:szCs w:val="20"/>
          <w:lang w:val="pl-PL"/>
        </w:rPr>
        <w:t>" w Raportach Rocznych Forda na Formularzu 10-K i Raportach Kwartalnych na Formularzu 10-Q, wielkość GAAP zawiera pozycje trudne do oszacowania z wystarczającym prawdopodobieństwem poprawności.</w:t>
      </w:r>
    </w:p>
    <w:p w14:paraId="222CEFF6" w14:textId="77777777" w:rsidR="00562A0F" w:rsidRDefault="00562A0F" w:rsidP="00562A0F">
      <w:pPr>
        <w:spacing w:before="1"/>
        <w:rPr>
          <w:rFonts w:ascii="Arial" w:eastAsia="Arial" w:hAnsi="Arial" w:cs="Arial"/>
          <w:szCs w:val="20"/>
          <w:lang w:val="pl-PL"/>
        </w:rPr>
      </w:pPr>
    </w:p>
    <w:p w14:paraId="30FE839D" w14:textId="77777777" w:rsidR="00562A0F" w:rsidRDefault="00562A0F" w:rsidP="00562A0F">
      <w:pPr>
        <w:ind w:left="120"/>
        <w:rPr>
          <w:rFonts w:ascii="Arial" w:eastAsia="Arial" w:hAnsi="Arial" w:cs="Arial"/>
          <w:szCs w:val="20"/>
          <w:lang w:val="pl-PL"/>
        </w:rPr>
      </w:pPr>
      <w:r>
        <w:rPr>
          <w:rFonts w:ascii="Arial" w:hAnsi="Arial"/>
          <w:b/>
          <w:i/>
          <w:lang w:val="pl-PL"/>
        </w:rPr>
        <w:t>O Ford Motor Company</w:t>
      </w:r>
    </w:p>
    <w:p w14:paraId="2F0BF04F" w14:textId="77777777" w:rsidR="00562A0F" w:rsidRPr="00005B97" w:rsidRDefault="00562A0F" w:rsidP="00562A0F">
      <w:pPr>
        <w:spacing w:line="237" w:lineRule="auto"/>
        <w:ind w:left="120" w:right="387"/>
        <w:rPr>
          <w:lang w:val="pl-PL"/>
        </w:rPr>
      </w:pPr>
      <w:r>
        <w:rPr>
          <w:rFonts w:ascii="Arial" w:eastAsia="Arial" w:hAnsi="Arial" w:cs="Arial"/>
          <w:i/>
          <w:szCs w:val="20"/>
          <w:lang w:val="pl-PL"/>
        </w:rPr>
        <w:t xml:space="preserve">Ford Motor Company z centralą w </w:t>
      </w:r>
      <w:proofErr w:type="spellStart"/>
      <w:r>
        <w:rPr>
          <w:rFonts w:ascii="Arial" w:eastAsia="Arial" w:hAnsi="Arial" w:cs="Arial"/>
          <w:i/>
          <w:szCs w:val="20"/>
          <w:lang w:val="pl-PL"/>
        </w:rPr>
        <w:t>Dearborn</w:t>
      </w:r>
      <w:proofErr w:type="spellEnd"/>
      <w:r>
        <w:rPr>
          <w:rFonts w:ascii="Arial" w:eastAsia="Arial" w:hAnsi="Arial" w:cs="Arial"/>
          <w:i/>
          <w:szCs w:val="20"/>
          <w:lang w:val="pl-PL"/>
        </w:rPr>
        <w:t xml:space="preserve">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w:t>
      </w:r>
      <w:proofErr w:type="spellStart"/>
      <w:r>
        <w:rPr>
          <w:rFonts w:ascii="Arial" w:eastAsia="Arial" w:hAnsi="Arial" w:cs="Arial"/>
          <w:i/>
          <w:szCs w:val="20"/>
          <w:lang w:val="pl-PL"/>
        </w:rPr>
        <w:t>Credit</w:t>
      </w:r>
      <w:proofErr w:type="spellEnd"/>
      <w:r>
        <w:rPr>
          <w:rFonts w:ascii="Arial" w:eastAsia="Arial" w:hAnsi="Arial" w:cs="Arial"/>
          <w:i/>
          <w:szCs w:val="20"/>
          <w:lang w:val="pl-PL"/>
        </w:rPr>
        <w:t xml:space="preserve"> Company na stronie </w:t>
      </w:r>
      <w:r>
        <w:rPr>
          <w:rFonts w:ascii="Arial" w:eastAsia="Arial" w:hAnsi="Arial" w:cs="Arial"/>
          <w:i/>
          <w:color w:val="0000FF"/>
          <w:szCs w:val="20"/>
          <w:u w:val="single" w:color="0000FF"/>
          <w:lang w:val="pl-PL"/>
        </w:rPr>
        <w:t>corporate.ford.com</w:t>
      </w:r>
      <w:r>
        <w:rPr>
          <w:rFonts w:ascii="Arial" w:eastAsia="Arial" w:hAnsi="Arial" w:cs="Arial"/>
          <w:i/>
          <w:szCs w:val="20"/>
          <w:lang w:val="pl-PL"/>
        </w:rPr>
        <w:t>.</w:t>
      </w:r>
    </w:p>
    <w:p w14:paraId="780ECB1B" w14:textId="77777777" w:rsidR="00562A0F" w:rsidRDefault="00562A0F" w:rsidP="00562A0F">
      <w:pPr>
        <w:rPr>
          <w:rFonts w:ascii="Arial" w:eastAsia="Arial" w:hAnsi="Arial" w:cs="Arial"/>
          <w:i/>
          <w:sz w:val="14"/>
          <w:szCs w:val="14"/>
          <w:lang w:val="pl-PL"/>
        </w:rPr>
      </w:pPr>
    </w:p>
    <w:p w14:paraId="6A92C4CA" w14:textId="77777777" w:rsidR="00562A0F" w:rsidRDefault="00562A0F" w:rsidP="00562A0F">
      <w:pPr>
        <w:tabs>
          <w:tab w:val="left" w:pos="5716"/>
        </w:tabs>
        <w:spacing w:before="69"/>
        <w:ind w:left="105"/>
        <w:rPr>
          <w:rFonts w:ascii="Arial" w:hAnsi="Arial"/>
          <w:b/>
          <w:w w:val="95"/>
          <w:lang w:val="pl-PL"/>
        </w:rPr>
      </w:pPr>
      <w:r>
        <w:rPr>
          <w:rFonts w:ascii="Arial" w:hAnsi="Arial"/>
          <w:b/>
          <w:w w:val="95"/>
          <w:lang w:val="pl-PL"/>
        </w:rPr>
        <w:t>Kontakt:</w:t>
      </w:r>
      <w:r>
        <w:rPr>
          <w:rFonts w:ascii="Arial" w:hAnsi="Arial"/>
          <w:b/>
          <w:w w:val="95"/>
          <w:lang w:val="pl-PL"/>
        </w:rPr>
        <w:tab/>
      </w:r>
    </w:p>
    <w:tbl>
      <w:tblPr>
        <w:tblStyle w:val="TableGrid"/>
        <w:tblW w:w="8646" w:type="dxa"/>
        <w:tblInd w:w="1101" w:type="dxa"/>
        <w:tblLook w:val="04A0" w:firstRow="1" w:lastRow="0" w:firstColumn="1" w:lastColumn="0" w:noHBand="0" w:noVBand="1"/>
      </w:tblPr>
      <w:tblGrid>
        <w:gridCol w:w="2162"/>
        <w:gridCol w:w="2162"/>
        <w:gridCol w:w="2161"/>
        <w:gridCol w:w="2161"/>
      </w:tblGrid>
      <w:tr w:rsidR="00562A0F" w:rsidRPr="004C6AB4" w14:paraId="2E16DF69" w14:textId="77777777" w:rsidTr="007F4D08">
        <w:tc>
          <w:tcPr>
            <w:tcW w:w="2161" w:type="dxa"/>
            <w:tcBorders>
              <w:top w:val="nil"/>
              <w:left w:val="nil"/>
              <w:bottom w:val="nil"/>
              <w:right w:val="nil"/>
            </w:tcBorders>
            <w:shd w:val="clear" w:color="auto" w:fill="auto"/>
            <w:vAlign w:val="bottom"/>
          </w:tcPr>
          <w:p w14:paraId="1B946E80" w14:textId="77777777" w:rsidR="00562A0F" w:rsidRDefault="00562A0F" w:rsidP="007F4D08">
            <w:pPr>
              <w:rPr>
                <w:rFonts w:ascii="Arial" w:eastAsia="Arial" w:hAnsi="Arial" w:cs="Arial"/>
                <w:lang w:val="pl-PL"/>
              </w:rPr>
            </w:pPr>
            <w:r>
              <w:rPr>
                <w:rFonts w:ascii="Arial" w:hAnsi="Arial"/>
                <w:u w:val="single" w:color="000000"/>
                <w:lang w:val="pl-PL"/>
              </w:rPr>
              <w:t>Media</w:t>
            </w:r>
          </w:p>
          <w:p w14:paraId="285FD44E" w14:textId="77777777" w:rsidR="00562A0F" w:rsidRDefault="00562A0F" w:rsidP="007F4D08">
            <w:pPr>
              <w:tabs>
                <w:tab w:val="left" w:pos="5716"/>
              </w:tabs>
              <w:spacing w:before="69"/>
              <w:rPr>
                <w:rFonts w:ascii="Arial" w:hAnsi="Arial"/>
                <w:lang w:val="pl-PL"/>
              </w:rPr>
            </w:pPr>
            <w:r>
              <w:rPr>
                <w:rFonts w:ascii="Arial" w:hAnsi="Arial"/>
                <w:lang w:val="pl-PL"/>
              </w:rPr>
              <w:t xml:space="preserve">T.R. </w:t>
            </w:r>
            <w:proofErr w:type="spellStart"/>
            <w:r>
              <w:rPr>
                <w:rFonts w:ascii="Arial" w:hAnsi="Arial"/>
                <w:lang w:val="pl-PL"/>
              </w:rPr>
              <w:t>Reid</w:t>
            </w:r>
            <w:proofErr w:type="spellEnd"/>
          </w:p>
          <w:p w14:paraId="7F6089D3" w14:textId="77777777" w:rsidR="00562A0F" w:rsidRDefault="00562A0F" w:rsidP="007F4D08">
            <w:pPr>
              <w:tabs>
                <w:tab w:val="left" w:pos="5716"/>
              </w:tabs>
              <w:spacing w:before="69"/>
              <w:rPr>
                <w:rFonts w:ascii="Arial" w:hAnsi="Arial"/>
                <w:lang w:val="pl-PL"/>
              </w:rPr>
            </w:pPr>
            <w:r>
              <w:rPr>
                <w:rFonts w:ascii="Arial" w:hAnsi="Arial"/>
                <w:lang w:val="pl-PL"/>
              </w:rPr>
              <w:t>1.313.319.6683</w:t>
            </w:r>
          </w:p>
          <w:p w14:paraId="35946D85" w14:textId="77777777" w:rsidR="00562A0F" w:rsidRDefault="00F95621" w:rsidP="007F4D08">
            <w:pPr>
              <w:tabs>
                <w:tab w:val="left" w:pos="5716"/>
              </w:tabs>
              <w:spacing w:before="69"/>
            </w:pPr>
            <w:hyperlink r:id="rId8">
              <w:r w:rsidR="00562A0F">
                <w:rPr>
                  <w:rStyle w:val="czeinternetowe"/>
                  <w:rFonts w:ascii="Arial" w:hAnsi="Arial"/>
                  <w:w w:val="95"/>
                  <w:u w:color="000000"/>
                  <w:lang w:val="pl-PL"/>
                </w:rPr>
                <w:t>treid22@ford.com</w:t>
              </w:r>
            </w:hyperlink>
          </w:p>
        </w:tc>
        <w:tc>
          <w:tcPr>
            <w:tcW w:w="2162" w:type="dxa"/>
            <w:tcBorders>
              <w:top w:val="nil"/>
              <w:left w:val="nil"/>
              <w:bottom w:val="nil"/>
              <w:right w:val="nil"/>
            </w:tcBorders>
            <w:shd w:val="clear" w:color="auto" w:fill="auto"/>
            <w:vAlign w:val="bottom"/>
          </w:tcPr>
          <w:p w14:paraId="1A3A698D" w14:textId="77777777" w:rsidR="00562A0F" w:rsidRDefault="00562A0F" w:rsidP="007F4D08">
            <w:pPr>
              <w:rPr>
                <w:rFonts w:ascii="Arial" w:eastAsia="Arial" w:hAnsi="Arial" w:cs="Arial"/>
                <w:u w:val="single"/>
                <w:lang w:val="pl-PL"/>
              </w:rPr>
            </w:pPr>
            <w:r>
              <w:rPr>
                <w:rFonts w:ascii="Arial" w:hAnsi="Arial"/>
                <w:lang w:val="pl-PL"/>
              </w:rPr>
              <w:t xml:space="preserve">Inwestycje </w:t>
            </w:r>
            <w:r>
              <w:rPr>
                <w:rFonts w:ascii="Arial" w:hAnsi="Arial"/>
                <w:lang w:val="pl-PL"/>
              </w:rPr>
              <w:br/>
            </w:r>
            <w:r>
              <w:rPr>
                <w:rFonts w:ascii="Arial" w:hAnsi="Arial"/>
                <w:u w:val="single"/>
                <w:lang w:val="pl-PL"/>
              </w:rPr>
              <w:t>kapitałowe</w:t>
            </w:r>
          </w:p>
          <w:p w14:paraId="4DEFFEB8" w14:textId="77777777" w:rsidR="00562A0F" w:rsidRDefault="00562A0F" w:rsidP="007F4D08">
            <w:pPr>
              <w:rPr>
                <w:rFonts w:ascii="Arial" w:eastAsia="Arial" w:hAnsi="Arial" w:cs="Arial"/>
                <w:lang w:val="pl-PL"/>
              </w:rPr>
            </w:pPr>
            <w:proofErr w:type="spellStart"/>
            <w:r>
              <w:rPr>
                <w:rFonts w:ascii="Arial" w:hAnsi="Arial"/>
                <w:lang w:val="pl-PL"/>
              </w:rPr>
              <w:t>Lynn</w:t>
            </w:r>
            <w:proofErr w:type="spellEnd"/>
            <w:r>
              <w:rPr>
                <w:rFonts w:ascii="Arial" w:hAnsi="Arial"/>
                <w:lang w:val="pl-PL"/>
              </w:rPr>
              <w:t xml:space="preserve"> </w:t>
            </w:r>
            <w:proofErr w:type="spellStart"/>
            <w:r>
              <w:rPr>
                <w:rFonts w:ascii="Arial" w:hAnsi="Arial"/>
                <w:lang w:val="pl-PL"/>
              </w:rPr>
              <w:t>Antipas</w:t>
            </w:r>
            <w:proofErr w:type="spellEnd"/>
            <w:r>
              <w:rPr>
                <w:rFonts w:ascii="Arial" w:hAnsi="Arial"/>
                <w:lang w:val="pl-PL"/>
              </w:rPr>
              <w:t xml:space="preserve"> Tyson</w:t>
            </w:r>
          </w:p>
          <w:p w14:paraId="0B0BB10A" w14:textId="77777777" w:rsidR="00562A0F" w:rsidRDefault="00562A0F" w:rsidP="007F4D08">
            <w:pPr>
              <w:tabs>
                <w:tab w:val="left" w:pos="5716"/>
              </w:tabs>
              <w:spacing w:before="69"/>
              <w:rPr>
                <w:rFonts w:ascii="Arial" w:hAnsi="Arial"/>
                <w:w w:val="95"/>
                <w:lang w:val="pl-PL"/>
              </w:rPr>
            </w:pPr>
            <w:r>
              <w:rPr>
                <w:rFonts w:ascii="Arial" w:hAnsi="Arial"/>
                <w:w w:val="95"/>
                <w:lang w:val="pl-PL"/>
              </w:rPr>
              <w:t>1.914.485.1150</w:t>
            </w:r>
          </w:p>
          <w:p w14:paraId="5A937817" w14:textId="77777777" w:rsidR="00562A0F" w:rsidRDefault="00F95621" w:rsidP="007F4D08">
            <w:pPr>
              <w:tabs>
                <w:tab w:val="left" w:pos="5716"/>
              </w:tabs>
              <w:spacing w:before="69"/>
            </w:pPr>
            <w:hyperlink r:id="rId9">
              <w:r w:rsidR="00562A0F">
                <w:rPr>
                  <w:rStyle w:val="czeinternetowe"/>
                  <w:rFonts w:ascii="Arial" w:hAnsi="Arial"/>
                  <w:u w:color="000000"/>
                  <w:lang w:val="pl-PL"/>
                </w:rPr>
                <w:t>ltyson4@ford.com</w:t>
              </w:r>
            </w:hyperlink>
          </w:p>
        </w:tc>
        <w:tc>
          <w:tcPr>
            <w:tcW w:w="2161" w:type="dxa"/>
            <w:tcBorders>
              <w:top w:val="nil"/>
              <w:left w:val="nil"/>
              <w:bottom w:val="nil"/>
              <w:right w:val="nil"/>
            </w:tcBorders>
            <w:shd w:val="clear" w:color="auto" w:fill="auto"/>
            <w:vAlign w:val="bottom"/>
          </w:tcPr>
          <w:p w14:paraId="6672F1AE" w14:textId="77777777" w:rsidR="00562A0F" w:rsidRDefault="00562A0F" w:rsidP="007F4D08">
            <w:pPr>
              <w:rPr>
                <w:rFonts w:ascii="Arial" w:hAnsi="Arial"/>
                <w:u w:val="single"/>
                <w:lang w:val="pl-PL"/>
              </w:rPr>
            </w:pPr>
            <w:r>
              <w:rPr>
                <w:rFonts w:ascii="Arial" w:hAnsi="Arial"/>
                <w:lang w:val="pl-PL"/>
              </w:rPr>
              <w:t xml:space="preserve">Inwestycje </w:t>
            </w:r>
            <w:r>
              <w:rPr>
                <w:rFonts w:ascii="Arial" w:hAnsi="Arial"/>
                <w:lang w:val="pl-PL"/>
              </w:rPr>
              <w:br/>
              <w:t xml:space="preserve">o stałej </w:t>
            </w:r>
            <w:r>
              <w:rPr>
                <w:rFonts w:ascii="Arial" w:hAnsi="Arial"/>
                <w:lang w:val="pl-PL"/>
              </w:rPr>
              <w:br/>
            </w:r>
            <w:r>
              <w:rPr>
                <w:rFonts w:ascii="Arial" w:hAnsi="Arial"/>
                <w:u w:val="single"/>
                <w:lang w:val="pl-PL"/>
              </w:rPr>
              <w:t>stopie zwrotu</w:t>
            </w:r>
          </w:p>
          <w:p w14:paraId="62AE8C8E" w14:textId="77777777" w:rsidR="00562A0F" w:rsidRDefault="00562A0F" w:rsidP="007F4D08">
            <w:pPr>
              <w:rPr>
                <w:rFonts w:ascii="Arial" w:eastAsia="Arial" w:hAnsi="Arial" w:cs="Arial"/>
                <w:lang w:val="pl-PL"/>
              </w:rPr>
            </w:pPr>
            <w:r>
              <w:rPr>
                <w:rFonts w:ascii="Arial" w:hAnsi="Arial"/>
                <w:lang w:val="pl-PL"/>
              </w:rPr>
              <w:t xml:space="preserve">Karen </w:t>
            </w:r>
            <w:proofErr w:type="spellStart"/>
            <w:r>
              <w:rPr>
                <w:rFonts w:ascii="Arial" w:hAnsi="Arial"/>
                <w:lang w:val="pl-PL"/>
              </w:rPr>
              <w:t>Rocoff</w:t>
            </w:r>
            <w:proofErr w:type="spellEnd"/>
          </w:p>
          <w:p w14:paraId="5D531673" w14:textId="77777777" w:rsidR="00562A0F" w:rsidRDefault="00562A0F" w:rsidP="007F4D08">
            <w:pPr>
              <w:tabs>
                <w:tab w:val="left" w:pos="5716"/>
              </w:tabs>
              <w:spacing w:before="69"/>
              <w:rPr>
                <w:rFonts w:ascii="Arial" w:hAnsi="Arial"/>
                <w:w w:val="95"/>
                <w:lang w:val="pl-PL"/>
              </w:rPr>
            </w:pPr>
            <w:r>
              <w:rPr>
                <w:rFonts w:ascii="Arial" w:hAnsi="Arial"/>
                <w:w w:val="95"/>
                <w:lang w:val="pl-PL"/>
              </w:rPr>
              <w:t>1.313.621.0965</w:t>
            </w:r>
          </w:p>
          <w:p w14:paraId="57912513" w14:textId="77777777" w:rsidR="00562A0F" w:rsidRDefault="00F95621" w:rsidP="007F4D08">
            <w:pPr>
              <w:tabs>
                <w:tab w:val="left" w:pos="5716"/>
              </w:tabs>
              <w:spacing w:before="69"/>
            </w:pPr>
            <w:hyperlink r:id="rId10">
              <w:r w:rsidR="00562A0F">
                <w:rPr>
                  <w:rStyle w:val="czeinternetowe"/>
                  <w:rFonts w:ascii="Arial" w:hAnsi="Arial"/>
                  <w:w w:val="95"/>
                  <w:u w:color="000000"/>
                  <w:lang w:val="pl-PL"/>
                </w:rPr>
                <w:t>krocoff@ford.com</w:t>
              </w:r>
            </w:hyperlink>
          </w:p>
        </w:tc>
        <w:tc>
          <w:tcPr>
            <w:tcW w:w="2161" w:type="dxa"/>
            <w:tcBorders>
              <w:top w:val="nil"/>
              <w:left w:val="nil"/>
              <w:bottom w:val="nil"/>
              <w:right w:val="nil"/>
            </w:tcBorders>
            <w:shd w:val="clear" w:color="auto" w:fill="auto"/>
            <w:vAlign w:val="bottom"/>
          </w:tcPr>
          <w:p w14:paraId="764827EF" w14:textId="77777777" w:rsidR="00562A0F" w:rsidRDefault="00562A0F" w:rsidP="007F4D08">
            <w:pPr>
              <w:tabs>
                <w:tab w:val="left" w:pos="5716"/>
              </w:tabs>
              <w:spacing w:before="69"/>
              <w:rPr>
                <w:rFonts w:ascii="Arial" w:hAnsi="Arial"/>
                <w:u w:val="single"/>
                <w:lang w:val="pl-PL"/>
              </w:rPr>
            </w:pPr>
            <w:r>
              <w:rPr>
                <w:rFonts w:ascii="Arial" w:hAnsi="Arial"/>
                <w:lang w:val="pl-PL"/>
              </w:rPr>
              <w:t xml:space="preserve">Pytania </w:t>
            </w:r>
            <w:r>
              <w:rPr>
                <w:rFonts w:ascii="Arial" w:hAnsi="Arial"/>
                <w:lang w:val="pl-PL"/>
              </w:rPr>
              <w:br/>
            </w:r>
            <w:r>
              <w:rPr>
                <w:rFonts w:ascii="Arial" w:hAnsi="Arial"/>
                <w:u w:val="single"/>
                <w:lang w:val="pl-PL"/>
              </w:rPr>
              <w:t>akcjonariuszy</w:t>
            </w:r>
          </w:p>
          <w:p w14:paraId="4930FA74" w14:textId="77777777" w:rsidR="00562A0F" w:rsidRDefault="00562A0F" w:rsidP="007F4D08">
            <w:pPr>
              <w:tabs>
                <w:tab w:val="left" w:pos="5716"/>
              </w:tabs>
              <w:spacing w:before="69"/>
              <w:rPr>
                <w:rFonts w:ascii="Arial" w:hAnsi="Arial"/>
                <w:lang w:val="pl-PL"/>
              </w:rPr>
            </w:pPr>
            <w:r>
              <w:rPr>
                <w:rFonts w:ascii="Arial" w:hAnsi="Arial"/>
                <w:lang w:val="pl-PL"/>
              </w:rPr>
              <w:t>1.800.555.5259 lub</w:t>
            </w:r>
          </w:p>
          <w:p w14:paraId="77050D14" w14:textId="77777777" w:rsidR="00562A0F" w:rsidRDefault="00562A0F" w:rsidP="007F4D08">
            <w:pPr>
              <w:tabs>
                <w:tab w:val="left" w:pos="5716"/>
              </w:tabs>
              <w:spacing w:before="69"/>
              <w:rPr>
                <w:rFonts w:ascii="Arial" w:hAnsi="Arial"/>
                <w:lang w:val="pl-PL"/>
              </w:rPr>
            </w:pPr>
            <w:r>
              <w:rPr>
                <w:rFonts w:ascii="Arial" w:hAnsi="Arial"/>
                <w:lang w:val="pl-PL"/>
              </w:rPr>
              <w:t>1.313.845.8540</w:t>
            </w:r>
          </w:p>
          <w:p w14:paraId="17D3A969" w14:textId="77777777" w:rsidR="00562A0F" w:rsidRPr="00005B97" w:rsidRDefault="00F95621" w:rsidP="007F4D08">
            <w:pPr>
              <w:tabs>
                <w:tab w:val="left" w:pos="5716"/>
              </w:tabs>
              <w:spacing w:before="69"/>
              <w:rPr>
                <w:lang w:val="pl-PL"/>
              </w:rPr>
            </w:pPr>
            <w:hyperlink r:id="rId11">
              <w:r w:rsidR="00562A0F">
                <w:rPr>
                  <w:rStyle w:val="czeinternetowe"/>
                  <w:rFonts w:ascii="Arial" w:hAnsi="Arial"/>
                  <w:u w:color="000000"/>
                  <w:lang w:val="pl-PL"/>
                </w:rPr>
                <w:t>stockinf@ford.com</w:t>
              </w:r>
            </w:hyperlink>
          </w:p>
        </w:tc>
      </w:tr>
    </w:tbl>
    <w:p w14:paraId="3E8596D0" w14:textId="77777777" w:rsidR="00562A0F" w:rsidRDefault="00562A0F" w:rsidP="00562A0F">
      <w:pPr>
        <w:spacing w:before="44"/>
        <w:ind w:left="2562"/>
        <w:rPr>
          <w:rFonts w:ascii="Arial" w:hAnsi="Arial"/>
          <w:b/>
          <w:sz w:val="19"/>
          <w:lang w:val="pl-PL"/>
        </w:rPr>
      </w:pPr>
    </w:p>
    <w:p w14:paraId="25F770F9" w14:textId="77777777" w:rsidR="00562A0F" w:rsidRDefault="00562A0F" w:rsidP="00562A0F">
      <w:pPr>
        <w:rPr>
          <w:rFonts w:ascii="Arial" w:hAnsi="Arial"/>
          <w:b/>
          <w:sz w:val="19"/>
          <w:lang w:val="pl-PL"/>
        </w:rPr>
      </w:pPr>
    </w:p>
    <w:p w14:paraId="20B5B7E8" w14:textId="77777777" w:rsidR="00562A0F" w:rsidRDefault="00562A0F" w:rsidP="00562A0F">
      <w:pPr>
        <w:rPr>
          <w:rFonts w:ascii="Arial" w:hAnsi="Arial"/>
          <w:b/>
          <w:sz w:val="19"/>
          <w:lang w:val="pl-PL"/>
        </w:rPr>
      </w:pPr>
      <w:r w:rsidRPr="00005B97">
        <w:rPr>
          <w:lang w:val="pl-PL"/>
        </w:rPr>
        <w:br w:type="page"/>
      </w:r>
    </w:p>
    <w:p w14:paraId="765D02A4" w14:textId="77777777" w:rsidR="00562A0F" w:rsidRDefault="00562A0F" w:rsidP="00562A0F">
      <w:pPr>
        <w:spacing w:before="44"/>
        <w:ind w:left="2562"/>
        <w:rPr>
          <w:rFonts w:ascii="Arial" w:eastAsia="Arial" w:hAnsi="Arial" w:cs="Arial"/>
          <w:szCs w:val="19"/>
          <w:lang w:val="pl-PL"/>
        </w:rPr>
      </w:pPr>
      <w:r>
        <w:rPr>
          <w:rFonts w:ascii="Arial" w:hAnsi="Arial" w:cs="Arial"/>
          <w:b/>
          <w:lang w:val="pl-PL"/>
        </w:rPr>
        <w:lastRenderedPageBreak/>
        <w:t>Uwagi do stwierdzeń dotyczących przyszłości</w:t>
      </w:r>
    </w:p>
    <w:p w14:paraId="693B32BB" w14:textId="77777777" w:rsidR="00562A0F" w:rsidRDefault="00562A0F" w:rsidP="00562A0F">
      <w:pPr>
        <w:spacing w:before="1"/>
        <w:rPr>
          <w:rFonts w:ascii="Arial" w:eastAsia="Arial" w:hAnsi="Arial" w:cs="Arial"/>
          <w:b/>
          <w:bCs/>
          <w:sz w:val="26"/>
          <w:szCs w:val="26"/>
          <w:lang w:val="pl-PL"/>
        </w:rPr>
      </w:pPr>
    </w:p>
    <w:p w14:paraId="1F16122B" w14:textId="77777777" w:rsidR="00562A0F" w:rsidRPr="00005B97" w:rsidRDefault="00562A0F" w:rsidP="00562A0F">
      <w:pPr>
        <w:spacing w:line="288" w:lineRule="auto"/>
        <w:ind w:left="100" w:right="201" w:firstLine="360"/>
        <w:rPr>
          <w:lang w:val="pl-PL"/>
        </w:rPr>
      </w:pPr>
      <w:r>
        <w:rPr>
          <w:rFonts w:ascii="Arial" w:eastAsia="Arial" w:hAnsi="Arial" w:cs="Arial"/>
          <w:szCs w:val="20"/>
          <w:lang w:val="pl-PL"/>
        </w:rPr>
        <w:t>Stwierdzenia zawarte lub włączone w charakterze odnośników do niniejszego dokumentu mogą stanowić tzw. stwierdzenia dotyczące przyszłości, w rozumieniu Ustawy o Reformie Sądowej Przepisów, dotyczących papierów wartościowych z 1995 r.  Stwierdzenia dotyczące przyszłości opierają się na oczekiwaniach, prognozach i założeniach kierownictwa firmy i wiążą się z szeregiem czynników ryzyka, niepewności i innych zmiennych, które mogą spowodować, że rzeczywiste wyniki będą się znacznie różnić od zakładanych, w zakresie niepodlegającym ograniczeniom:</w:t>
      </w:r>
    </w:p>
    <w:p w14:paraId="2CC3B41E" w14:textId="77777777" w:rsidR="00562A0F" w:rsidRDefault="00562A0F" w:rsidP="00562A0F">
      <w:pPr>
        <w:spacing w:before="1"/>
        <w:rPr>
          <w:rFonts w:ascii="Arial" w:eastAsia="Arial" w:hAnsi="Arial" w:cs="Arial"/>
          <w:sz w:val="24"/>
          <w:lang w:val="pl-PL"/>
        </w:rPr>
      </w:pPr>
    </w:p>
    <w:p w14:paraId="6AE1BB16"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 xml:space="preserve">Na kondycję finansową i wyniki działalności Forda i Ford </w:t>
      </w:r>
      <w:proofErr w:type="spellStart"/>
      <w:r>
        <w:rPr>
          <w:rFonts w:ascii="Arial" w:eastAsia="Arial" w:hAnsi="Arial" w:cs="Arial"/>
          <w:szCs w:val="20"/>
          <w:lang w:val="pl-PL"/>
        </w:rPr>
        <w:t>Credit</w:t>
      </w:r>
      <w:proofErr w:type="spellEnd"/>
      <w:r>
        <w:rPr>
          <w:rFonts w:ascii="Arial" w:eastAsia="Arial" w:hAnsi="Arial" w:cs="Arial"/>
          <w:szCs w:val="20"/>
          <w:lang w:val="pl-PL"/>
        </w:rPr>
        <w:t xml:space="preserve"> miały i mogą mieć nadal negatywny wpływ kwestie związane ze zdrowiem publicznym, w tym epidemie lub pandemie, takie jak COVID-19;</w:t>
      </w:r>
    </w:p>
    <w:p w14:paraId="70D3332D"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Ford jest w dużym stopniu uzależniony od swoich dostawców, którzy dostarczają komponenty zgodnie z harmonogramem produkcji Forda, a niedobór kluczowych komponentów, takich jak półprzewodniki, może zakłócić produkcję pojazdów Forda;</w:t>
      </w:r>
    </w:p>
    <w:p w14:paraId="715F2CAC"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Długoterminowa konkurencyjność Forda zależy od pomyślnej realizacji jego planów;</w:t>
      </w:r>
    </w:p>
    <w:p w14:paraId="6B41AEE7"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W pojazdach Forda mogą wystąpić usterki, które spowodują opóźnienia we wprowadzaniu nowych modeli, kampanie serwisowe lub wzrost kosztów gwarancji;</w:t>
      </w:r>
    </w:p>
    <w:p w14:paraId="51DFCDD3"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Ford może nie osiągnąć oczekiwanych korzyści z istniejących lub planowanych sojuszy strategicznych, przedsięwzięć joint venture, przejęć, sprzedaży lub nowych strategii biznesowych;</w:t>
      </w:r>
    </w:p>
    <w:p w14:paraId="11E805E0"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Na systemy operacyjne, systemy bezpieczeństwa i pojazdy mogą mieć wpływ incydenty związane z cyberatakami i inne zakłócenia;</w:t>
      </w:r>
    </w:p>
    <w:p w14:paraId="0D361D46"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Produkcja Forda, jak również produkcja dostawców Forda, może zostać zakłócona przez problemy pracownicze, klęski żywiołowe lub katastrofy spowodowane przez człowieka, problemy finansowe, trudności produkcyjne lub inne czynniki;</w:t>
      </w:r>
    </w:p>
    <w:p w14:paraId="700DB110"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Na zdolność firmy Ford do utrzymania konkurencyjnej struktury kosztów mogą wpłynąć problemy związane z zatrudnieniem lub inne ograniczenia;</w:t>
      </w:r>
    </w:p>
    <w:p w14:paraId="584E9A36"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Zdolność firmy Ford do pozyskiwania i zatrudniania utalentowanych, wszechstronnie wykształconych i wysoko wykwalifikowanych pracowników ma kluczowe znaczenie dla jej sukcesu i konkurencyjności;</w:t>
      </w:r>
    </w:p>
    <w:p w14:paraId="5A7EFCEE"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Nowe i istniejące produkty Forda oraz usługi związane z mobilnością podlegają akceptacji rynku i napotykają na znaczącą konkurencję ze strony istniejących i nowych podmiotów z branży motoryzacji i transportu;</w:t>
      </w:r>
    </w:p>
    <w:p w14:paraId="54BA2534"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Wyniki Forda są uzależnione od sprzedaży większych, bardziej dochodowych pojazdów, zwłaszcza w Stanach Zjednoczonych;</w:t>
      </w:r>
    </w:p>
    <w:p w14:paraId="04322791"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W związku z globalnym zasięgiem działalności, na wyniki Forda mogą niekorzystnie wpłynąć czynniki ekonomiczne, geopolityczne, protekcjonistyczna polityka handlowa lub inne czynniki, w tym opłaty celne;</w:t>
      </w:r>
    </w:p>
    <w:p w14:paraId="132499D4"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Wielkość sprzedaży przemysłowej na każdym z kluczowych rynków Forda może ulec destabilizacji i zmniejszeniu w przypadku kryzysu finansowego, recesji lub istotnych wydarzeń geopolitycznych;</w:t>
      </w:r>
    </w:p>
    <w:p w14:paraId="7E2E1DAC"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Ford może napotkać zwiększoną konkurencję cenową lub spadek popytu na swoje produkty wynikający z nadwyżki mocy produkcyjnych w całej branży, wahań kursów walut, działań konkurencji lub innych czynników;</w:t>
      </w:r>
    </w:p>
    <w:p w14:paraId="4A355083"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lastRenderedPageBreak/>
        <w:t xml:space="preserve">Wahania cen surowców, kursów walutowych, stóp procentowych oraz wartości inwestycji rynkowych Forda lub Ford </w:t>
      </w:r>
      <w:proofErr w:type="spellStart"/>
      <w:r>
        <w:rPr>
          <w:rFonts w:ascii="Arial" w:eastAsia="Arial" w:hAnsi="Arial" w:cs="Arial"/>
          <w:szCs w:val="20"/>
          <w:lang w:val="pl-PL"/>
        </w:rPr>
        <w:t>Credit</w:t>
      </w:r>
      <w:proofErr w:type="spellEnd"/>
      <w:r>
        <w:rPr>
          <w:rFonts w:ascii="Arial" w:eastAsia="Arial" w:hAnsi="Arial" w:cs="Arial"/>
          <w:szCs w:val="20"/>
          <w:lang w:val="pl-PL"/>
        </w:rPr>
        <w:t xml:space="preserve"> mogą mieć znaczący wpływ na wyniki;</w:t>
      </w:r>
    </w:p>
    <w:p w14:paraId="7A5E8355"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 xml:space="preserve">Na dostęp Forda i Ford </w:t>
      </w:r>
      <w:proofErr w:type="spellStart"/>
      <w:r>
        <w:rPr>
          <w:rFonts w:ascii="Arial" w:eastAsia="Arial" w:hAnsi="Arial" w:cs="Arial"/>
          <w:szCs w:val="20"/>
          <w:lang w:val="pl-PL"/>
        </w:rPr>
        <w:t>Credit</w:t>
      </w:r>
      <w:proofErr w:type="spellEnd"/>
      <w:r>
        <w:rPr>
          <w:rFonts w:ascii="Arial" w:eastAsia="Arial" w:hAnsi="Arial" w:cs="Arial"/>
          <w:szCs w:val="20"/>
          <w:lang w:val="pl-PL"/>
        </w:rPr>
        <w:t xml:space="preserve"> do kredytów, sekurytyzacji lub instrumentów pochodnych na całym świecie po konkurencyjnych stawkach lub w wystarczającej ilości mogą wpłynąć obniżki ratingów kredytowych, zmienność rynku, zakłócenia na rynku, wymogi regulatorów rynków finansowych lub inne czynniki;</w:t>
      </w:r>
    </w:p>
    <w:p w14:paraId="16E15A9A"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Otrzymanie przez Forda zachęty rządowe mogą podlegać ograniczeniu, zakończeniu lub wycofaniu;</w:t>
      </w:r>
    </w:p>
    <w:p w14:paraId="5E5D9033"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 xml:space="preserve">Ford </w:t>
      </w:r>
      <w:proofErr w:type="spellStart"/>
      <w:r>
        <w:rPr>
          <w:rFonts w:ascii="Arial" w:eastAsia="Arial" w:hAnsi="Arial" w:cs="Arial"/>
          <w:szCs w:val="20"/>
          <w:lang w:val="pl-PL"/>
        </w:rPr>
        <w:t>Credit</w:t>
      </w:r>
      <w:proofErr w:type="spellEnd"/>
      <w:r>
        <w:rPr>
          <w:rFonts w:ascii="Arial" w:eastAsia="Arial" w:hAnsi="Arial" w:cs="Arial"/>
          <w:szCs w:val="20"/>
          <w:lang w:val="pl-PL"/>
        </w:rPr>
        <w:t xml:space="preserve"> może ponieść wyższe od oczekiwanych straty kredytowe, uzyskać niższe od oczekiwanych wartości odsprzedaży lub wyższe od oczekiwań ilości zwrotów leasingowanych pojazdów;</w:t>
      </w:r>
    </w:p>
    <w:p w14:paraId="4671CE97"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Dane ekonomiczne i demograficzne dotyczące planów emerytalnych i innych planów świadczeń emerytalnych (np. stopy dyskontowe lub zwroty z inwestycji) mogą być gorsze od zakładanych przez Forda;</w:t>
      </w:r>
    </w:p>
    <w:p w14:paraId="170F5D6F"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Zobowiązania dotyczące wypłaty emerytur i inne zobowiązania z tytułu świadczeń emerytalnych mogą niekorzystnie wpłynąć na płynność i sytuację finansową Forda;</w:t>
      </w:r>
    </w:p>
    <w:p w14:paraId="4380385A"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Ford może być narażony na nietypowe lub kosztowne spory sądowe, dochodzenia agencji rządowych lub negatywny rozgłos wynikający z rzekomych wad produktów, postrzeganego wpływu na środowisko naturalne lub podobne czynniki;</w:t>
      </w:r>
    </w:p>
    <w:p w14:paraId="28FEA40C"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Ford może być zmuszony do znaczącej modyfikacji swoich planów produktowych, aby spełnić wymogi przepisów dotyczących bezpieczeństwa, emisji spalin, zużycia paliwa, pojazdów autonomicznych i innych;</w:t>
      </w:r>
    </w:p>
    <w:p w14:paraId="4BE8218C"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 xml:space="preserve">Ford i Ford </w:t>
      </w:r>
      <w:proofErr w:type="spellStart"/>
      <w:r>
        <w:rPr>
          <w:rFonts w:ascii="Arial" w:eastAsia="Arial" w:hAnsi="Arial" w:cs="Arial"/>
          <w:szCs w:val="20"/>
          <w:lang w:val="pl-PL"/>
        </w:rPr>
        <w:t>Credit</w:t>
      </w:r>
      <w:proofErr w:type="spellEnd"/>
      <w:r>
        <w:rPr>
          <w:rFonts w:ascii="Arial" w:eastAsia="Arial" w:hAnsi="Arial" w:cs="Arial"/>
          <w:szCs w:val="20"/>
          <w:lang w:val="pl-PL"/>
        </w:rPr>
        <w:t xml:space="preserve"> mogą być narażone skutki ciągłego rozwoju wciąż zaostrzanych praw i przepisów dotyczących prywatności, wykorzystania danych i ochrony danych, jak również zwiększonych oczekiwań konsumentów w zakresie ochrony ich danych osobowych; oraz</w:t>
      </w:r>
    </w:p>
    <w:p w14:paraId="235BD2C0" w14:textId="77777777" w:rsidR="00562A0F" w:rsidRPr="00005B97" w:rsidRDefault="00562A0F" w:rsidP="00562A0F">
      <w:pPr>
        <w:numPr>
          <w:ilvl w:val="0"/>
          <w:numId w:val="28"/>
        </w:numPr>
        <w:tabs>
          <w:tab w:val="left" w:pos="820"/>
        </w:tabs>
        <w:spacing w:line="288" w:lineRule="auto"/>
        <w:ind w:right="201"/>
        <w:rPr>
          <w:lang w:val="pl-PL"/>
        </w:rPr>
      </w:pPr>
      <w:r>
        <w:rPr>
          <w:rFonts w:ascii="Arial" w:eastAsia="Arial" w:hAnsi="Arial" w:cs="Arial"/>
          <w:szCs w:val="20"/>
          <w:lang w:val="pl-PL"/>
        </w:rPr>
        <w:t xml:space="preserve">Ford </w:t>
      </w:r>
      <w:proofErr w:type="spellStart"/>
      <w:r>
        <w:rPr>
          <w:rFonts w:ascii="Arial" w:eastAsia="Arial" w:hAnsi="Arial" w:cs="Arial"/>
          <w:szCs w:val="20"/>
          <w:lang w:val="pl-PL"/>
        </w:rPr>
        <w:t>Credit</w:t>
      </w:r>
      <w:proofErr w:type="spellEnd"/>
      <w:r>
        <w:rPr>
          <w:rFonts w:ascii="Arial" w:eastAsia="Arial" w:hAnsi="Arial" w:cs="Arial"/>
          <w:szCs w:val="20"/>
          <w:lang w:val="pl-PL"/>
        </w:rPr>
        <w:t xml:space="preserve"> może podlegać nowym lub zaostrzonym przepisom kredytowym, przepisom dotyczącym ochrony konsumenta lub innym regulacjom.</w:t>
      </w:r>
    </w:p>
    <w:p w14:paraId="14B0CFE4" w14:textId="77777777" w:rsidR="00562A0F" w:rsidRDefault="00562A0F" w:rsidP="00562A0F">
      <w:pPr>
        <w:spacing w:before="4"/>
        <w:rPr>
          <w:rFonts w:ascii="Arial" w:eastAsia="Arial" w:hAnsi="Arial" w:cs="Arial"/>
          <w:sz w:val="24"/>
          <w:lang w:val="pl-PL"/>
        </w:rPr>
      </w:pPr>
    </w:p>
    <w:p w14:paraId="5E2423E2" w14:textId="77777777" w:rsidR="00562A0F" w:rsidRPr="00562A0F" w:rsidRDefault="00562A0F" w:rsidP="00562A0F">
      <w:pPr>
        <w:ind w:left="100" w:right="103"/>
        <w:rPr>
          <w:lang w:val="pl-PL"/>
        </w:rPr>
      </w:pPr>
      <w:r>
        <w:rPr>
          <w:rFonts w:ascii="Arial" w:eastAsia="Arial" w:hAnsi="Arial" w:cs="Arial"/>
          <w:spacing w:val="3"/>
          <w:szCs w:val="20"/>
          <w:lang w:val="pl-PL"/>
        </w:rPr>
        <w:t>Nie możemy być pewni, że jakiekolwiek oczekiwania, prognozy lub założenia poczynione podczas przygotowywania stwierdzeń dotyczących przyszłości okażą się trafne, ani że jakiekolwiek przewidywania zostaną zrealizowane.  Należy się spodziewać, że mogą wystąpić różnice między wynikami prognozowanymi a rzeczywistymi.  Nasze stwierdzenia dotyczące przyszłości obowiązują wyłącznie w dniu ich pierwszej publikacji i nie podejmujemy żadnych zobowiązań do ich aktualizacji lub publicznej korekty, czy to w wyniku pojawienia się nowych informacji, przyszłych zdarzeń, czy też z innych przyczyn.  Dodatkowe omówienie znajduje się w "Punkcie 1A. Czynniki ryzyka" w naszym Raporcie rocznym na Formularzu 10-K za rok zakończony 31 grudnia 2020, zaktualizowanym przez kolejne Raporty kwartalne na Formularzu 10-Q i Raporty bieżące na Formularzu 8-K.</w:t>
      </w:r>
    </w:p>
    <w:p w14:paraId="3D899AC6" w14:textId="77777777" w:rsidR="00277765" w:rsidRDefault="00277765" w:rsidP="00277765">
      <w:pPr>
        <w:jc w:val="center"/>
        <w:rPr>
          <w:rFonts w:ascii="Arial" w:hAnsi="Arial" w:cs="Arial"/>
          <w:color w:val="000000" w:themeColor="text1"/>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4C6AB4"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2"/>
      <w:headerReference w:type="first" r:id="rId13"/>
      <w:footerReference w:type="first" r:id="rId14"/>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ACFC" w14:textId="77777777" w:rsidR="00F95621" w:rsidRDefault="00F95621">
      <w:r>
        <w:separator/>
      </w:r>
    </w:p>
  </w:endnote>
  <w:endnote w:type="continuationSeparator" w:id="0">
    <w:p w14:paraId="37600A88" w14:textId="77777777" w:rsidR="00F95621" w:rsidRDefault="00F9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4C6AB4"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F95621">
            <w:fldChar w:fldCharType="begin"/>
          </w:r>
          <w:r w:rsidR="00F95621" w:rsidRPr="004C6AB4">
            <w:rPr>
              <w:lang w:val="pl-PL"/>
            </w:rPr>
            <w:instrText xml:space="preserve"> HYPERLINK "http://www.fordmedia.eu/" \h </w:instrText>
          </w:r>
          <w:r w:rsidR="00F95621">
            <w:fldChar w:fldCharType="separate"/>
          </w:r>
          <w:r>
            <w:rPr>
              <w:rStyle w:val="czeinternetowe"/>
              <w:rFonts w:ascii="Arial" w:eastAsia="Calibri" w:hAnsi="Arial" w:cs="Arial"/>
              <w:sz w:val="18"/>
              <w:szCs w:val="18"/>
              <w:lang w:val="pl-PL"/>
            </w:rPr>
            <w:t>www.fordmedia.eu</w:t>
          </w:r>
          <w:r w:rsidR="00F9562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F95621">
            <w:fldChar w:fldCharType="begin"/>
          </w:r>
          <w:r w:rsidR="00F95621" w:rsidRPr="004C6AB4">
            <w:rPr>
              <w:lang w:val="pl-PL"/>
            </w:rPr>
            <w:instrText xml:space="preserve"> HYPERLINK "http://www.media.ford.com/" \h </w:instrText>
          </w:r>
          <w:r w:rsidR="00F95621">
            <w:fldChar w:fldCharType="separate"/>
          </w:r>
          <w:r>
            <w:rPr>
              <w:rStyle w:val="czeinternetowe"/>
              <w:rFonts w:ascii="Arial" w:eastAsia="Calibri" w:hAnsi="Arial" w:cs="Arial"/>
              <w:sz w:val="18"/>
              <w:szCs w:val="18"/>
              <w:lang w:val="pl-PL"/>
            </w:rPr>
            <w:t>www.media.ford.com.</w:t>
          </w:r>
          <w:r w:rsidR="00F9562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F95621">
            <w:fldChar w:fldCharType="begin"/>
          </w:r>
          <w:r w:rsidR="00F95621" w:rsidRPr="004C6AB4">
            <w:rPr>
              <w:lang w:val="pl-PL"/>
            </w:rPr>
            <w:instrText xml:space="preserve"> HYPERLINK "http://www.twitter.com/FordEu" \h </w:instrText>
          </w:r>
          <w:r w:rsidR="00F95621">
            <w:fldChar w:fldCharType="separate"/>
          </w:r>
          <w:r>
            <w:rPr>
              <w:rStyle w:val="czeinternetowe"/>
              <w:rFonts w:ascii="Arial" w:eastAsia="Calibri" w:hAnsi="Arial" w:cs="Arial"/>
              <w:sz w:val="18"/>
              <w:szCs w:val="18"/>
              <w:lang w:val="pl-PL"/>
            </w:rPr>
            <w:t xml:space="preserve">www.twitter.com/FordEu </w:t>
          </w:r>
          <w:r w:rsidR="00F9562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F95621">
            <w:fldChar w:fldCharType="begin"/>
          </w:r>
          <w:r w:rsidR="00F95621" w:rsidRPr="004C6AB4">
            <w:rPr>
              <w:lang w:val="pl-PL"/>
            </w:rPr>
            <w:instrText xml:space="preserve"> HYPERLINK "http://www.youtube.com/fordofeurope" \h </w:instrText>
          </w:r>
          <w:r w:rsidR="00F95621">
            <w:fldChar w:fldCharType="separate"/>
          </w:r>
          <w:r>
            <w:rPr>
              <w:rStyle w:val="czeinternetowe"/>
              <w:rFonts w:ascii="Arial" w:eastAsia="Calibri" w:hAnsi="Arial" w:cs="Arial"/>
              <w:sz w:val="18"/>
              <w:szCs w:val="18"/>
              <w:lang w:val="pl-PL"/>
            </w:rPr>
            <w:t>www.youtube.com/fordofeurope</w:t>
          </w:r>
          <w:r w:rsidR="00F95621">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F95621">
      <w:fldChar w:fldCharType="begin"/>
    </w:r>
    <w:r w:rsidR="00F95621" w:rsidRPr="004C6AB4">
      <w:rPr>
        <w:lang w:val="pl-PL"/>
      </w:rPr>
      <w:instrText xml:space="preserve"> HYPERLINK "http://www.fordmedia.eu/" \h </w:instrText>
    </w:r>
    <w:r w:rsidR="00F95621">
      <w:fldChar w:fldCharType="separate"/>
    </w:r>
    <w:r>
      <w:rPr>
        <w:rStyle w:val="czeinternetowe"/>
        <w:rFonts w:ascii="Arial" w:eastAsia="Calibri" w:hAnsi="Arial" w:cs="Arial"/>
        <w:sz w:val="18"/>
        <w:szCs w:val="18"/>
        <w:lang w:val="pl-PL"/>
      </w:rPr>
      <w:t>www.fordmedia.eu</w:t>
    </w:r>
    <w:r w:rsidR="00F9562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D414E" w14:textId="77777777" w:rsidR="00F95621" w:rsidRDefault="00F95621">
      <w:r>
        <w:separator/>
      </w:r>
    </w:p>
  </w:footnote>
  <w:footnote w:type="continuationSeparator" w:id="0">
    <w:p w14:paraId="303BD513" w14:textId="77777777" w:rsidR="00F95621" w:rsidRDefault="00F9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087"/>
    <w:multiLevelType w:val="hybridMultilevel"/>
    <w:tmpl w:val="6B2E201A"/>
    <w:lvl w:ilvl="0" w:tplc="04150001">
      <w:start w:val="1"/>
      <w:numFmt w:val="bullet"/>
      <w:lvlText w:val=""/>
      <w:lvlJc w:val="left"/>
      <w:pPr>
        <w:ind w:left="1202" w:hanging="360"/>
      </w:pPr>
      <w:rPr>
        <w:rFonts w:ascii="Symbol" w:hAnsi="Symbol" w:hint="default"/>
      </w:rPr>
    </w:lvl>
    <w:lvl w:ilvl="1" w:tplc="04150003">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1" w15:restartNumberingAfterBreak="0">
    <w:nsid w:val="041A78B5"/>
    <w:multiLevelType w:val="hybridMultilevel"/>
    <w:tmpl w:val="01824B84"/>
    <w:lvl w:ilvl="0" w:tplc="04150001">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663312"/>
    <w:multiLevelType w:val="hybridMultilevel"/>
    <w:tmpl w:val="D5D86C58"/>
    <w:lvl w:ilvl="0" w:tplc="BB38C5A4">
      <w:numFmt w:val="bullet"/>
      <w:lvlText w:val=""/>
      <w:lvlJc w:val="left"/>
      <w:pPr>
        <w:ind w:left="820" w:hanging="360"/>
      </w:pPr>
      <w:rPr>
        <w:rFonts w:ascii="Symbol" w:eastAsia="Symbol" w:hAnsi="Symbol" w:cs="Symbol" w:hint="default"/>
        <w:sz w:val="22"/>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4" w15:restartNumberingAfterBreak="0">
    <w:nsid w:val="11A2340C"/>
    <w:multiLevelType w:val="hybridMultilevel"/>
    <w:tmpl w:val="01F09AAE"/>
    <w:lvl w:ilvl="0" w:tplc="04150001">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 w15:restartNumberingAfterBreak="0">
    <w:nsid w:val="12DA6B44"/>
    <w:multiLevelType w:val="hybridMultilevel"/>
    <w:tmpl w:val="40F69654"/>
    <w:lvl w:ilvl="0" w:tplc="352C502C">
      <w:numFmt w:val="bullet"/>
      <w:lvlText w:val=""/>
      <w:lvlJc w:val="left"/>
      <w:pPr>
        <w:ind w:left="828" w:hanging="360"/>
      </w:pPr>
      <w:rPr>
        <w:rFonts w:ascii="Symbol" w:eastAsia="Symbol" w:hAnsi="Symbol" w:cs="Symbol" w:hint="default"/>
        <w:sz w:val="22"/>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6"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765491"/>
    <w:multiLevelType w:val="hybridMultilevel"/>
    <w:tmpl w:val="0A14EB36"/>
    <w:lvl w:ilvl="0" w:tplc="04150001">
      <w:start w:val="1"/>
      <w:numFmt w:val="bullet"/>
      <w:lvlText w:val=""/>
      <w:lvlJc w:val="left"/>
      <w:pPr>
        <w:ind w:left="1202" w:hanging="360"/>
      </w:pPr>
      <w:rPr>
        <w:rFonts w:ascii="Symbol" w:hAnsi="Symbol" w:hint="default"/>
      </w:rPr>
    </w:lvl>
    <w:lvl w:ilvl="1" w:tplc="04150003">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9"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C134798"/>
    <w:multiLevelType w:val="hybridMultilevel"/>
    <w:tmpl w:val="5C2C5C34"/>
    <w:lvl w:ilvl="0" w:tplc="04150001">
      <w:start w:val="1"/>
      <w:numFmt w:val="bullet"/>
      <w:lvlText w:val=""/>
      <w:lvlJc w:val="left"/>
      <w:pPr>
        <w:ind w:left="1180" w:hanging="360"/>
      </w:pPr>
      <w:rPr>
        <w:rFonts w:ascii="Symbol" w:hAnsi="Symbol" w:hint="default"/>
      </w:rPr>
    </w:lvl>
    <w:lvl w:ilvl="1" w:tplc="6236154E">
      <w:numFmt w:val="bullet"/>
      <w:lvlText w:val=""/>
      <w:lvlJc w:val="left"/>
      <w:pPr>
        <w:ind w:left="1900" w:hanging="360"/>
      </w:pPr>
      <w:rPr>
        <w:rFonts w:ascii="Symbol" w:eastAsia="Symbol" w:hAnsi="Symbol" w:cs="Symbol" w:hint="default"/>
        <w:sz w:val="22"/>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12"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1D9521F8"/>
    <w:multiLevelType w:val="hybridMultilevel"/>
    <w:tmpl w:val="CAC0D70C"/>
    <w:lvl w:ilvl="0" w:tplc="04150001">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5"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9E59E7"/>
    <w:multiLevelType w:val="hybridMultilevel"/>
    <w:tmpl w:val="8F541AF0"/>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19" w15:restartNumberingAfterBreak="0">
    <w:nsid w:val="2A301D8F"/>
    <w:multiLevelType w:val="hybridMultilevel"/>
    <w:tmpl w:val="37E80A7C"/>
    <w:lvl w:ilvl="0" w:tplc="04150001">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F000000"/>
    <w:multiLevelType w:val="hybridMultilevel"/>
    <w:tmpl w:val="CC3835D0"/>
    <w:lvl w:ilvl="0" w:tplc="BAB08458">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2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2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3DCE44A8"/>
    <w:multiLevelType w:val="hybridMultilevel"/>
    <w:tmpl w:val="73CA7B1E"/>
    <w:lvl w:ilvl="0" w:tplc="04150001">
      <w:start w:val="1"/>
      <w:numFmt w:val="bullet"/>
      <w:lvlText w:val=""/>
      <w:lvlJc w:val="left"/>
      <w:pPr>
        <w:ind w:left="1180" w:hanging="360"/>
      </w:pPr>
      <w:rPr>
        <w:rFonts w:ascii="Symbol" w:hAnsi="Symbol" w:hint="default"/>
      </w:rPr>
    </w:lvl>
    <w:lvl w:ilvl="1" w:tplc="CF6E58BC">
      <w:numFmt w:val="bullet"/>
      <w:lvlText w:val=""/>
      <w:lvlJc w:val="left"/>
      <w:pPr>
        <w:ind w:left="1900" w:hanging="360"/>
      </w:pPr>
      <w:rPr>
        <w:rFonts w:ascii="Symbol" w:eastAsia="Symbol" w:hAnsi="Symbol" w:cs="Symbol" w:hint="default"/>
        <w:sz w:val="22"/>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28" w15:restartNumberingAfterBreak="0">
    <w:nsid w:val="4A4F784B"/>
    <w:multiLevelType w:val="hybridMultilevel"/>
    <w:tmpl w:val="6C800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4EFF50CE"/>
    <w:multiLevelType w:val="hybridMultilevel"/>
    <w:tmpl w:val="54D6F7C2"/>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31" w15:restartNumberingAfterBreak="0">
    <w:nsid w:val="520A0E14"/>
    <w:multiLevelType w:val="hybridMultilevel"/>
    <w:tmpl w:val="3D4AAE48"/>
    <w:lvl w:ilvl="0" w:tplc="B1E2CBF6">
      <w:numFmt w:val="bullet"/>
      <w:lvlText w:val=""/>
      <w:lvlJc w:val="left"/>
      <w:pPr>
        <w:ind w:left="840" w:hanging="360"/>
      </w:pPr>
      <w:rPr>
        <w:rFonts w:ascii="Symbol" w:eastAsia="Symbol" w:hAnsi="Symbol" w:cs="Symbol" w:hint="default"/>
        <w:sz w:val="22"/>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5D764641"/>
    <w:multiLevelType w:val="hybridMultilevel"/>
    <w:tmpl w:val="CBC0F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CAC4D91"/>
    <w:multiLevelType w:val="multilevel"/>
    <w:tmpl w:val="D4A4135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DE95401"/>
    <w:multiLevelType w:val="hybridMultilevel"/>
    <w:tmpl w:val="09321E56"/>
    <w:lvl w:ilvl="0" w:tplc="0A0018AE">
      <w:numFmt w:val="bullet"/>
      <w:lvlText w:val=""/>
      <w:lvlJc w:val="left"/>
      <w:pPr>
        <w:ind w:left="856" w:hanging="360"/>
      </w:pPr>
      <w:rPr>
        <w:rFonts w:ascii="Symbol" w:eastAsia="Symbol" w:hAnsi="Symbol" w:cs="Symbol" w:hint="default"/>
        <w:sz w:val="22"/>
      </w:rPr>
    </w:lvl>
    <w:lvl w:ilvl="1" w:tplc="04150003" w:tentative="1">
      <w:start w:val="1"/>
      <w:numFmt w:val="bullet"/>
      <w:lvlText w:val="o"/>
      <w:lvlJc w:val="left"/>
      <w:pPr>
        <w:ind w:left="1576" w:hanging="360"/>
      </w:pPr>
      <w:rPr>
        <w:rFonts w:ascii="Courier New" w:hAnsi="Courier New" w:cs="Courier New" w:hint="default"/>
      </w:rPr>
    </w:lvl>
    <w:lvl w:ilvl="2" w:tplc="04150005" w:tentative="1">
      <w:start w:val="1"/>
      <w:numFmt w:val="bullet"/>
      <w:lvlText w:val=""/>
      <w:lvlJc w:val="left"/>
      <w:pPr>
        <w:ind w:left="2296" w:hanging="360"/>
      </w:pPr>
      <w:rPr>
        <w:rFonts w:ascii="Wingdings" w:hAnsi="Wingdings" w:hint="default"/>
      </w:rPr>
    </w:lvl>
    <w:lvl w:ilvl="3" w:tplc="04150001" w:tentative="1">
      <w:start w:val="1"/>
      <w:numFmt w:val="bullet"/>
      <w:lvlText w:val=""/>
      <w:lvlJc w:val="left"/>
      <w:pPr>
        <w:ind w:left="3016" w:hanging="360"/>
      </w:pPr>
      <w:rPr>
        <w:rFonts w:ascii="Symbol" w:hAnsi="Symbol" w:hint="default"/>
      </w:rPr>
    </w:lvl>
    <w:lvl w:ilvl="4" w:tplc="04150003" w:tentative="1">
      <w:start w:val="1"/>
      <w:numFmt w:val="bullet"/>
      <w:lvlText w:val="o"/>
      <w:lvlJc w:val="left"/>
      <w:pPr>
        <w:ind w:left="3736" w:hanging="360"/>
      </w:pPr>
      <w:rPr>
        <w:rFonts w:ascii="Courier New" w:hAnsi="Courier New" w:cs="Courier New" w:hint="default"/>
      </w:rPr>
    </w:lvl>
    <w:lvl w:ilvl="5" w:tplc="04150005" w:tentative="1">
      <w:start w:val="1"/>
      <w:numFmt w:val="bullet"/>
      <w:lvlText w:val=""/>
      <w:lvlJc w:val="left"/>
      <w:pPr>
        <w:ind w:left="4456" w:hanging="360"/>
      </w:pPr>
      <w:rPr>
        <w:rFonts w:ascii="Wingdings" w:hAnsi="Wingdings" w:hint="default"/>
      </w:rPr>
    </w:lvl>
    <w:lvl w:ilvl="6" w:tplc="04150001" w:tentative="1">
      <w:start w:val="1"/>
      <w:numFmt w:val="bullet"/>
      <w:lvlText w:val=""/>
      <w:lvlJc w:val="left"/>
      <w:pPr>
        <w:ind w:left="5176" w:hanging="360"/>
      </w:pPr>
      <w:rPr>
        <w:rFonts w:ascii="Symbol" w:hAnsi="Symbol" w:hint="default"/>
      </w:rPr>
    </w:lvl>
    <w:lvl w:ilvl="7" w:tplc="04150003" w:tentative="1">
      <w:start w:val="1"/>
      <w:numFmt w:val="bullet"/>
      <w:lvlText w:val="o"/>
      <w:lvlJc w:val="left"/>
      <w:pPr>
        <w:ind w:left="5896" w:hanging="360"/>
      </w:pPr>
      <w:rPr>
        <w:rFonts w:ascii="Courier New" w:hAnsi="Courier New" w:cs="Courier New" w:hint="default"/>
      </w:rPr>
    </w:lvl>
    <w:lvl w:ilvl="8" w:tplc="04150005" w:tentative="1">
      <w:start w:val="1"/>
      <w:numFmt w:val="bullet"/>
      <w:lvlText w:val=""/>
      <w:lvlJc w:val="left"/>
      <w:pPr>
        <w:ind w:left="6616" w:hanging="360"/>
      </w:pPr>
      <w:rPr>
        <w:rFonts w:ascii="Wingdings" w:hAnsi="Wingdings" w:hint="default"/>
      </w:rPr>
    </w:lvl>
  </w:abstractNum>
  <w:abstractNum w:abstractNumId="40" w15:restartNumberingAfterBreak="0">
    <w:nsid w:val="73374293"/>
    <w:multiLevelType w:val="hybridMultilevel"/>
    <w:tmpl w:val="828212CE"/>
    <w:lvl w:ilvl="0" w:tplc="04150001">
      <w:start w:val="1"/>
      <w:numFmt w:val="bullet"/>
      <w:lvlText w:val=""/>
      <w:lvlJc w:val="left"/>
      <w:pPr>
        <w:ind w:left="1200" w:hanging="360"/>
      </w:pPr>
      <w:rPr>
        <w:rFonts w:ascii="Symbol" w:hAnsi="Symbol" w:hint="default"/>
      </w:rPr>
    </w:lvl>
    <w:lvl w:ilvl="1" w:tplc="33163FC8">
      <w:start w:val="33"/>
      <w:numFmt w:val="bullet"/>
      <w:lvlText w:val=""/>
      <w:lvlJc w:val="left"/>
      <w:pPr>
        <w:ind w:left="1920" w:hanging="360"/>
      </w:pPr>
      <w:rPr>
        <w:rFonts w:ascii="Symbol" w:eastAsia="Symbol" w:hAnsi="Symbol" w:cs="Symbol" w:hint="default"/>
        <w:sz w:val="22"/>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1" w15:restartNumberingAfterBreak="0">
    <w:nsid w:val="73B076E9"/>
    <w:multiLevelType w:val="hybridMultilevel"/>
    <w:tmpl w:val="364EB132"/>
    <w:lvl w:ilvl="0" w:tplc="0A0018AE">
      <w:numFmt w:val="bullet"/>
      <w:lvlText w:val=""/>
      <w:lvlJc w:val="left"/>
      <w:pPr>
        <w:ind w:left="856" w:hanging="360"/>
      </w:pPr>
      <w:rPr>
        <w:rFonts w:ascii="Symbol" w:eastAsia="Symbol" w:hAnsi="Symbol" w:cs="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A82646"/>
    <w:multiLevelType w:val="hybridMultilevel"/>
    <w:tmpl w:val="21AC1A92"/>
    <w:lvl w:ilvl="0" w:tplc="04150001">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3" w15:restartNumberingAfterBreak="0">
    <w:nsid w:val="76353051"/>
    <w:multiLevelType w:val="hybridMultilevel"/>
    <w:tmpl w:val="E98E9188"/>
    <w:lvl w:ilvl="0" w:tplc="3BBAA502">
      <w:numFmt w:val="bullet"/>
      <w:lvlText w:val=""/>
      <w:lvlJc w:val="left"/>
      <w:pPr>
        <w:ind w:left="820" w:hanging="360"/>
      </w:pPr>
      <w:rPr>
        <w:rFonts w:ascii="Symbol" w:eastAsia="Symbol" w:hAnsi="Symbol" w:cs="Symbol" w:hint="default"/>
        <w:sz w:val="22"/>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4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7F621F9C"/>
    <w:multiLevelType w:val="multilevel"/>
    <w:tmpl w:val="AE521684"/>
    <w:lvl w:ilvl="0">
      <w:start w:val="1"/>
      <w:numFmt w:val="bullet"/>
      <w:lvlText w:val=""/>
      <w:lvlJc w:val="left"/>
      <w:pPr>
        <w:ind w:left="820" w:hanging="360"/>
      </w:pPr>
      <w:rPr>
        <w:rFonts w:ascii="Symbol" w:hAnsi="Symbol" w:cs="Symbol" w:hint="default"/>
        <w:w w:val="99"/>
        <w:sz w:val="20"/>
        <w:szCs w:val="16"/>
      </w:rPr>
    </w:lvl>
    <w:lvl w:ilvl="1">
      <w:start w:val="1"/>
      <w:numFmt w:val="bullet"/>
      <w:lvlText w:val=""/>
      <w:lvlJc w:val="left"/>
      <w:pPr>
        <w:ind w:left="1692" w:hanging="360"/>
      </w:pPr>
      <w:rPr>
        <w:rFonts w:ascii="Symbol" w:hAnsi="Symbol" w:cs="Symbol" w:hint="default"/>
      </w:rPr>
    </w:lvl>
    <w:lvl w:ilvl="2">
      <w:start w:val="1"/>
      <w:numFmt w:val="bullet"/>
      <w:lvlText w:val=""/>
      <w:lvlJc w:val="left"/>
      <w:pPr>
        <w:ind w:left="2564" w:hanging="360"/>
      </w:pPr>
      <w:rPr>
        <w:rFonts w:ascii="Symbol" w:hAnsi="Symbol" w:cs="Symbol" w:hint="default"/>
      </w:rPr>
    </w:lvl>
    <w:lvl w:ilvl="3">
      <w:start w:val="1"/>
      <w:numFmt w:val="bullet"/>
      <w:lvlText w:val=""/>
      <w:lvlJc w:val="left"/>
      <w:pPr>
        <w:ind w:left="3436" w:hanging="360"/>
      </w:pPr>
      <w:rPr>
        <w:rFonts w:ascii="Symbol" w:hAnsi="Symbol" w:cs="Symbol" w:hint="default"/>
      </w:rPr>
    </w:lvl>
    <w:lvl w:ilvl="4">
      <w:start w:val="1"/>
      <w:numFmt w:val="bullet"/>
      <w:lvlText w:val=""/>
      <w:lvlJc w:val="left"/>
      <w:pPr>
        <w:ind w:left="4308" w:hanging="360"/>
      </w:pPr>
      <w:rPr>
        <w:rFonts w:ascii="Symbol" w:hAnsi="Symbol" w:cs="Symbol" w:hint="default"/>
      </w:rPr>
    </w:lvl>
    <w:lvl w:ilvl="5">
      <w:start w:val="1"/>
      <w:numFmt w:val="bullet"/>
      <w:lvlText w:val=""/>
      <w:lvlJc w:val="left"/>
      <w:pPr>
        <w:ind w:left="5180" w:hanging="360"/>
      </w:pPr>
      <w:rPr>
        <w:rFonts w:ascii="Symbol" w:hAnsi="Symbol" w:cs="Symbol" w:hint="default"/>
      </w:rPr>
    </w:lvl>
    <w:lvl w:ilvl="6">
      <w:start w:val="1"/>
      <w:numFmt w:val="bullet"/>
      <w:lvlText w:val=""/>
      <w:lvlJc w:val="left"/>
      <w:pPr>
        <w:ind w:left="6052" w:hanging="360"/>
      </w:pPr>
      <w:rPr>
        <w:rFonts w:ascii="Symbol" w:hAnsi="Symbol" w:cs="Symbol" w:hint="default"/>
      </w:rPr>
    </w:lvl>
    <w:lvl w:ilvl="7">
      <w:start w:val="1"/>
      <w:numFmt w:val="bullet"/>
      <w:lvlText w:val=""/>
      <w:lvlJc w:val="left"/>
      <w:pPr>
        <w:ind w:left="6924" w:hanging="360"/>
      </w:pPr>
      <w:rPr>
        <w:rFonts w:ascii="Symbol" w:hAnsi="Symbol" w:cs="Symbol" w:hint="default"/>
      </w:rPr>
    </w:lvl>
    <w:lvl w:ilvl="8">
      <w:start w:val="1"/>
      <w:numFmt w:val="bullet"/>
      <w:lvlText w:val=""/>
      <w:lvlJc w:val="left"/>
      <w:pPr>
        <w:ind w:left="7796" w:hanging="360"/>
      </w:pPr>
      <w:rPr>
        <w:rFonts w:ascii="Symbol" w:hAnsi="Symbol" w:cs="Symbol" w:hint="default"/>
      </w:rPr>
    </w:lvl>
  </w:abstractNum>
  <w:num w:numId="1">
    <w:abstractNumId w:val="13"/>
  </w:num>
  <w:num w:numId="2">
    <w:abstractNumId w:val="15"/>
  </w:num>
  <w:num w:numId="3">
    <w:abstractNumId w:val="25"/>
  </w:num>
  <w:num w:numId="4">
    <w:abstractNumId w:val="33"/>
  </w:num>
  <w:num w:numId="5">
    <w:abstractNumId w:val="37"/>
  </w:num>
  <w:num w:numId="6">
    <w:abstractNumId w:val="20"/>
  </w:num>
  <w:num w:numId="7">
    <w:abstractNumId w:val="26"/>
  </w:num>
  <w:num w:numId="8">
    <w:abstractNumId w:val="24"/>
  </w:num>
  <w:num w:numId="9">
    <w:abstractNumId w:val="6"/>
  </w:num>
  <w:num w:numId="10">
    <w:abstractNumId w:val="7"/>
  </w:num>
  <w:num w:numId="11">
    <w:abstractNumId w:val="9"/>
  </w:num>
  <w:num w:numId="12">
    <w:abstractNumId w:val="10"/>
  </w:num>
  <w:num w:numId="13">
    <w:abstractNumId w:val="29"/>
  </w:num>
  <w:num w:numId="14">
    <w:abstractNumId w:val="12"/>
  </w:num>
  <w:num w:numId="15">
    <w:abstractNumId w:val="32"/>
  </w:num>
  <w:num w:numId="16">
    <w:abstractNumId w:val="16"/>
  </w:num>
  <w:num w:numId="17">
    <w:abstractNumId w:val="36"/>
  </w:num>
  <w:num w:numId="18">
    <w:abstractNumId w:val="44"/>
  </w:num>
  <w:num w:numId="19">
    <w:abstractNumId w:val="2"/>
  </w:num>
  <w:num w:numId="20">
    <w:abstractNumId w:val="46"/>
  </w:num>
  <w:num w:numId="21">
    <w:abstractNumId w:val="23"/>
  </w:num>
  <w:num w:numId="22">
    <w:abstractNumId w:val="17"/>
  </w:num>
  <w:num w:numId="23">
    <w:abstractNumId w:val="35"/>
  </w:num>
  <w:num w:numId="24">
    <w:abstractNumId w:val="45"/>
  </w:num>
  <w:num w:numId="25">
    <w:abstractNumId w:val="21"/>
  </w:num>
  <w:num w:numId="26">
    <w:abstractNumId w:val="22"/>
  </w:num>
  <w:num w:numId="27">
    <w:abstractNumId w:val="38"/>
  </w:num>
  <w:num w:numId="28">
    <w:abstractNumId w:val="47"/>
  </w:num>
  <w:num w:numId="29">
    <w:abstractNumId w:val="28"/>
  </w:num>
  <w:num w:numId="30">
    <w:abstractNumId w:val="39"/>
  </w:num>
  <w:num w:numId="31">
    <w:abstractNumId w:val="41"/>
  </w:num>
  <w:num w:numId="32">
    <w:abstractNumId w:val="34"/>
  </w:num>
  <w:num w:numId="33">
    <w:abstractNumId w:val="11"/>
  </w:num>
  <w:num w:numId="34">
    <w:abstractNumId w:val="3"/>
  </w:num>
  <w:num w:numId="35">
    <w:abstractNumId w:val="8"/>
  </w:num>
  <w:num w:numId="36">
    <w:abstractNumId w:val="18"/>
  </w:num>
  <w:num w:numId="37">
    <w:abstractNumId w:val="5"/>
  </w:num>
  <w:num w:numId="38">
    <w:abstractNumId w:val="30"/>
  </w:num>
  <w:num w:numId="39">
    <w:abstractNumId w:val="27"/>
  </w:num>
  <w:num w:numId="40">
    <w:abstractNumId w:val="43"/>
  </w:num>
  <w:num w:numId="41">
    <w:abstractNumId w:val="0"/>
  </w:num>
  <w:num w:numId="42">
    <w:abstractNumId w:val="40"/>
  </w:num>
  <w:num w:numId="43">
    <w:abstractNumId w:val="31"/>
  </w:num>
  <w:num w:numId="44">
    <w:abstractNumId w:val="19"/>
  </w:num>
  <w:num w:numId="45">
    <w:abstractNumId w:val="4"/>
  </w:num>
  <w:num w:numId="46">
    <w:abstractNumId w:val="14"/>
  </w:num>
  <w:num w:numId="47">
    <w:abstractNumId w:val="42"/>
  </w:num>
  <w:num w:numId="4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33F19"/>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012E"/>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77765"/>
    <w:rsid w:val="002805B1"/>
    <w:rsid w:val="002823D9"/>
    <w:rsid w:val="00291048"/>
    <w:rsid w:val="0029464F"/>
    <w:rsid w:val="002A4EFF"/>
    <w:rsid w:val="002B43D2"/>
    <w:rsid w:val="002B4EE0"/>
    <w:rsid w:val="002C561F"/>
    <w:rsid w:val="002E2656"/>
    <w:rsid w:val="002F5335"/>
    <w:rsid w:val="003064BB"/>
    <w:rsid w:val="00306A71"/>
    <w:rsid w:val="003076E2"/>
    <w:rsid w:val="0030794E"/>
    <w:rsid w:val="0033092B"/>
    <w:rsid w:val="00334066"/>
    <w:rsid w:val="00342ECF"/>
    <w:rsid w:val="0034715C"/>
    <w:rsid w:val="00347D78"/>
    <w:rsid w:val="00354862"/>
    <w:rsid w:val="00356D19"/>
    <w:rsid w:val="00364D2A"/>
    <w:rsid w:val="00367AAA"/>
    <w:rsid w:val="00372E01"/>
    <w:rsid w:val="003744AA"/>
    <w:rsid w:val="003815CA"/>
    <w:rsid w:val="00384537"/>
    <w:rsid w:val="00384927"/>
    <w:rsid w:val="003906E4"/>
    <w:rsid w:val="003A17FF"/>
    <w:rsid w:val="003A6DCC"/>
    <w:rsid w:val="003B1705"/>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C6AB4"/>
    <w:rsid w:val="004D0476"/>
    <w:rsid w:val="004D3709"/>
    <w:rsid w:val="004D477B"/>
    <w:rsid w:val="004E3236"/>
    <w:rsid w:val="004E366F"/>
    <w:rsid w:val="004E6D58"/>
    <w:rsid w:val="00501CC4"/>
    <w:rsid w:val="005129BD"/>
    <w:rsid w:val="00516C9C"/>
    <w:rsid w:val="00522DAE"/>
    <w:rsid w:val="005238FF"/>
    <w:rsid w:val="0052769E"/>
    <w:rsid w:val="005305A3"/>
    <w:rsid w:val="00555CD4"/>
    <w:rsid w:val="00562A0F"/>
    <w:rsid w:val="00564C82"/>
    <w:rsid w:val="0056598E"/>
    <w:rsid w:val="005730E2"/>
    <w:rsid w:val="00577947"/>
    <w:rsid w:val="005802B6"/>
    <w:rsid w:val="005867C0"/>
    <w:rsid w:val="005968FF"/>
    <w:rsid w:val="005A302A"/>
    <w:rsid w:val="005A3CDA"/>
    <w:rsid w:val="005B6B84"/>
    <w:rsid w:val="005C0F90"/>
    <w:rsid w:val="005C1845"/>
    <w:rsid w:val="005C617E"/>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B7D8C"/>
    <w:rsid w:val="006C004A"/>
    <w:rsid w:val="006C0090"/>
    <w:rsid w:val="006C31A5"/>
    <w:rsid w:val="006D76C3"/>
    <w:rsid w:val="006D783E"/>
    <w:rsid w:val="006D7FCC"/>
    <w:rsid w:val="006F2B19"/>
    <w:rsid w:val="006F57E1"/>
    <w:rsid w:val="006F70B4"/>
    <w:rsid w:val="00711495"/>
    <w:rsid w:val="00713B49"/>
    <w:rsid w:val="00720F76"/>
    <w:rsid w:val="0072149B"/>
    <w:rsid w:val="00721799"/>
    <w:rsid w:val="00730A31"/>
    <w:rsid w:val="00732EEE"/>
    <w:rsid w:val="00737ADC"/>
    <w:rsid w:val="0074017F"/>
    <w:rsid w:val="0076196C"/>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5C2B"/>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D1B4E"/>
    <w:rsid w:val="008E0F86"/>
    <w:rsid w:val="008F2C84"/>
    <w:rsid w:val="008F54E0"/>
    <w:rsid w:val="00915841"/>
    <w:rsid w:val="009164BB"/>
    <w:rsid w:val="0094549D"/>
    <w:rsid w:val="00946702"/>
    <w:rsid w:val="009539CD"/>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0582"/>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A441B"/>
    <w:rsid w:val="00AB24D2"/>
    <w:rsid w:val="00AD54FF"/>
    <w:rsid w:val="00AD5814"/>
    <w:rsid w:val="00AF1F15"/>
    <w:rsid w:val="00AF67EE"/>
    <w:rsid w:val="00AF7ED6"/>
    <w:rsid w:val="00B01153"/>
    <w:rsid w:val="00B01F0A"/>
    <w:rsid w:val="00B04D02"/>
    <w:rsid w:val="00B120C8"/>
    <w:rsid w:val="00B1724D"/>
    <w:rsid w:val="00B2744E"/>
    <w:rsid w:val="00B43F15"/>
    <w:rsid w:val="00B45F5A"/>
    <w:rsid w:val="00B47DA4"/>
    <w:rsid w:val="00B50FEE"/>
    <w:rsid w:val="00B52E72"/>
    <w:rsid w:val="00B623DB"/>
    <w:rsid w:val="00B63613"/>
    <w:rsid w:val="00B70797"/>
    <w:rsid w:val="00B71190"/>
    <w:rsid w:val="00B716CC"/>
    <w:rsid w:val="00B73082"/>
    <w:rsid w:val="00B80111"/>
    <w:rsid w:val="00B83E04"/>
    <w:rsid w:val="00B8641B"/>
    <w:rsid w:val="00B924C6"/>
    <w:rsid w:val="00B936BD"/>
    <w:rsid w:val="00BA1855"/>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16522"/>
    <w:rsid w:val="00C2293F"/>
    <w:rsid w:val="00C25C2E"/>
    <w:rsid w:val="00C31E1E"/>
    <w:rsid w:val="00C33579"/>
    <w:rsid w:val="00C33FB9"/>
    <w:rsid w:val="00C42E20"/>
    <w:rsid w:val="00C44532"/>
    <w:rsid w:val="00C514E2"/>
    <w:rsid w:val="00C557C5"/>
    <w:rsid w:val="00C559C3"/>
    <w:rsid w:val="00C60AB0"/>
    <w:rsid w:val="00C82DBA"/>
    <w:rsid w:val="00C940E7"/>
    <w:rsid w:val="00C95A33"/>
    <w:rsid w:val="00C95CE1"/>
    <w:rsid w:val="00C97B1F"/>
    <w:rsid w:val="00CB3D41"/>
    <w:rsid w:val="00CC04E8"/>
    <w:rsid w:val="00CC1618"/>
    <w:rsid w:val="00CC22E2"/>
    <w:rsid w:val="00CC32D3"/>
    <w:rsid w:val="00CC596B"/>
    <w:rsid w:val="00CC619D"/>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1946"/>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E52CE"/>
    <w:rsid w:val="00EF5FB5"/>
    <w:rsid w:val="00F0045A"/>
    <w:rsid w:val="00F01506"/>
    <w:rsid w:val="00F031B8"/>
    <w:rsid w:val="00F034F3"/>
    <w:rsid w:val="00F06B4A"/>
    <w:rsid w:val="00F165F2"/>
    <w:rsid w:val="00F17586"/>
    <w:rsid w:val="00F22DF7"/>
    <w:rsid w:val="00F35C59"/>
    <w:rsid w:val="00F36798"/>
    <w:rsid w:val="00F4226E"/>
    <w:rsid w:val="00F45F0A"/>
    <w:rsid w:val="00F45F2D"/>
    <w:rsid w:val="00F57E03"/>
    <w:rsid w:val="00F61E0C"/>
    <w:rsid w:val="00F814A5"/>
    <w:rsid w:val="00F82990"/>
    <w:rsid w:val="00F865C0"/>
    <w:rsid w:val="00F926BA"/>
    <w:rsid w:val="00F95621"/>
    <w:rsid w:val="00FA53AD"/>
    <w:rsid w:val="00FB0932"/>
    <w:rsid w:val="00FC37B0"/>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uiPriority w:val="99"/>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uiPriority w:val="1"/>
    <w:qFormat/>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uiPriority w:val="59"/>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12623794">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1098770">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id22@for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ckinf@fo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ocoff@ford.com" TargetMode="External"/><Relationship Id="rId4" Type="http://schemas.openxmlformats.org/officeDocument/2006/relationships/settings" Target="settings.xml"/><Relationship Id="rId9" Type="http://schemas.openxmlformats.org/officeDocument/2006/relationships/hyperlink" Target="mailto:ltyson4@ford.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78890-5059-4946-AEB6-CE06136C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2269</Words>
  <Characters>13619</Characters>
  <Application>Microsoft Office Word</Application>
  <DocSecurity>0</DocSecurity>
  <Lines>113</Lines>
  <Paragraphs>31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15857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Markiewicz, Blazej (B.)</dc:creator>
  <cp:keywords/>
  <dc:description/>
  <cp:lastModifiedBy>Golebiowski, Andrzej (A.)</cp:lastModifiedBy>
  <cp:revision>4</cp:revision>
  <cp:lastPrinted>2021-02-12T09:18:00Z</cp:lastPrinted>
  <dcterms:created xsi:type="dcterms:W3CDTF">2021-05-27T10:33:00Z</dcterms:created>
  <dcterms:modified xsi:type="dcterms:W3CDTF">2021-05-27T11:25:00Z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